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9AB45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5BB7AD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lang w:val="en-US" w:eastAsia="zh-CN" w:bidi="ar-SA"/>
        </w:rPr>
        <w:t>第十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lang w:val="en-US" w:eastAsia="zh-CN"/>
        </w:rPr>
        <w:t>八届山西省“杏花奖”终评回执表</w:t>
      </w:r>
    </w:p>
    <w:bookmarkEnd w:id="0"/>
    <w:p w14:paraId="632EC9A1">
      <w:pPr>
        <w:pStyle w:val="2"/>
        <w:rPr>
          <w:rFonts w:hint="default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单位：</w:t>
      </w:r>
      <w:r>
        <w:rPr>
          <w:rFonts w:hint="eastAsia"/>
          <w:u w:val="single"/>
          <w:lang w:val="en-US" w:eastAsia="zh-CN"/>
        </w:rPr>
        <w:t xml:space="preserve">                       </w:t>
      </w:r>
    </w:p>
    <w:tbl>
      <w:tblPr>
        <w:tblStyle w:val="4"/>
        <w:tblW w:w="14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788"/>
        <w:gridCol w:w="1343"/>
        <w:gridCol w:w="2944"/>
        <w:gridCol w:w="3557"/>
        <w:gridCol w:w="1462"/>
        <w:gridCol w:w="2445"/>
      </w:tblGrid>
      <w:tr w14:paraId="45BB6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noWrap w:val="0"/>
            <w:vAlign w:val="center"/>
          </w:tcPr>
          <w:p w14:paraId="3C036E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88" w:type="dxa"/>
            <w:noWrap w:val="0"/>
            <w:vAlign w:val="center"/>
          </w:tcPr>
          <w:p w14:paraId="2C188BC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参评奖项</w:t>
            </w:r>
          </w:p>
        </w:tc>
        <w:tc>
          <w:tcPr>
            <w:tcW w:w="1343" w:type="dxa"/>
            <w:noWrap w:val="0"/>
            <w:vAlign w:val="center"/>
          </w:tcPr>
          <w:p w14:paraId="2A85277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参评人员</w:t>
            </w:r>
          </w:p>
        </w:tc>
        <w:tc>
          <w:tcPr>
            <w:tcW w:w="2944" w:type="dxa"/>
            <w:noWrap w:val="0"/>
            <w:vAlign w:val="center"/>
          </w:tcPr>
          <w:p w14:paraId="3998E4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参评作品</w:t>
            </w:r>
          </w:p>
        </w:tc>
        <w:tc>
          <w:tcPr>
            <w:tcW w:w="3557" w:type="dxa"/>
            <w:noWrap w:val="0"/>
            <w:vAlign w:val="center"/>
          </w:tcPr>
          <w:p w14:paraId="40E2B9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演出单位</w:t>
            </w:r>
          </w:p>
        </w:tc>
        <w:tc>
          <w:tcPr>
            <w:tcW w:w="1462" w:type="dxa"/>
            <w:noWrap w:val="0"/>
            <w:vAlign w:val="center"/>
          </w:tcPr>
          <w:p w14:paraId="09162D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445" w:type="dxa"/>
            <w:noWrap w:val="0"/>
            <w:vAlign w:val="center"/>
          </w:tcPr>
          <w:p w14:paraId="14820C9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</w:tr>
      <w:tr w14:paraId="2A8AD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noWrap w:val="0"/>
            <w:vAlign w:val="center"/>
          </w:tcPr>
          <w:p w14:paraId="704FB20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88" w:type="dxa"/>
            <w:noWrap w:val="0"/>
            <w:vAlign w:val="center"/>
          </w:tcPr>
          <w:p w14:paraId="0CC234F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05860DB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4" w:type="dxa"/>
            <w:noWrap w:val="0"/>
            <w:vAlign w:val="center"/>
          </w:tcPr>
          <w:p w14:paraId="4E171CA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57" w:type="dxa"/>
            <w:noWrap w:val="0"/>
            <w:vAlign w:val="center"/>
          </w:tcPr>
          <w:p w14:paraId="2EFE7D7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651D63D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2CA3953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06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noWrap w:val="0"/>
            <w:vAlign w:val="center"/>
          </w:tcPr>
          <w:p w14:paraId="558D429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88" w:type="dxa"/>
            <w:noWrap w:val="0"/>
            <w:vAlign w:val="center"/>
          </w:tcPr>
          <w:p w14:paraId="019E217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5DEACF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4" w:type="dxa"/>
            <w:noWrap w:val="0"/>
            <w:vAlign w:val="center"/>
          </w:tcPr>
          <w:p w14:paraId="0EB8873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57" w:type="dxa"/>
            <w:noWrap w:val="0"/>
            <w:vAlign w:val="center"/>
          </w:tcPr>
          <w:p w14:paraId="3092151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5D68F9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27D5FA0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4C2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noWrap w:val="0"/>
            <w:vAlign w:val="center"/>
          </w:tcPr>
          <w:p w14:paraId="70D91E3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88" w:type="dxa"/>
            <w:noWrap w:val="0"/>
            <w:vAlign w:val="center"/>
          </w:tcPr>
          <w:p w14:paraId="058E3C7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1C67771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4" w:type="dxa"/>
            <w:noWrap w:val="0"/>
            <w:vAlign w:val="center"/>
          </w:tcPr>
          <w:p w14:paraId="64B9E81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57" w:type="dxa"/>
            <w:noWrap w:val="0"/>
            <w:vAlign w:val="center"/>
          </w:tcPr>
          <w:p w14:paraId="18F6C62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56ADC20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5CDCC20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EED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noWrap w:val="0"/>
            <w:vAlign w:val="center"/>
          </w:tcPr>
          <w:p w14:paraId="7E24B97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88" w:type="dxa"/>
            <w:noWrap w:val="0"/>
            <w:vAlign w:val="center"/>
          </w:tcPr>
          <w:p w14:paraId="1B7A0E9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180EE0A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4" w:type="dxa"/>
            <w:noWrap w:val="0"/>
            <w:vAlign w:val="center"/>
          </w:tcPr>
          <w:p w14:paraId="263E2C7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57" w:type="dxa"/>
            <w:noWrap w:val="0"/>
            <w:vAlign w:val="center"/>
          </w:tcPr>
          <w:p w14:paraId="2ED7D56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3899CE0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35020A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154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noWrap w:val="0"/>
            <w:vAlign w:val="center"/>
          </w:tcPr>
          <w:p w14:paraId="55D2E94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88" w:type="dxa"/>
            <w:noWrap w:val="0"/>
            <w:vAlign w:val="center"/>
          </w:tcPr>
          <w:p w14:paraId="656076C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55F7B20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4" w:type="dxa"/>
            <w:noWrap w:val="0"/>
            <w:vAlign w:val="center"/>
          </w:tcPr>
          <w:p w14:paraId="135A375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57" w:type="dxa"/>
            <w:noWrap w:val="0"/>
            <w:vAlign w:val="center"/>
          </w:tcPr>
          <w:p w14:paraId="18A8622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065A7A5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1DF9B1C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000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noWrap w:val="0"/>
            <w:vAlign w:val="center"/>
          </w:tcPr>
          <w:p w14:paraId="5F170D6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88" w:type="dxa"/>
            <w:noWrap w:val="0"/>
            <w:vAlign w:val="center"/>
          </w:tcPr>
          <w:p w14:paraId="29B65A7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622DCFC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4" w:type="dxa"/>
            <w:noWrap w:val="0"/>
            <w:vAlign w:val="center"/>
          </w:tcPr>
          <w:p w14:paraId="23762A9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57" w:type="dxa"/>
            <w:noWrap w:val="0"/>
            <w:vAlign w:val="center"/>
          </w:tcPr>
          <w:p w14:paraId="5E6E34F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66B7AA8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137EF3C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F62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noWrap w:val="0"/>
            <w:vAlign w:val="center"/>
          </w:tcPr>
          <w:p w14:paraId="23C4358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788" w:type="dxa"/>
            <w:noWrap w:val="0"/>
            <w:vAlign w:val="center"/>
          </w:tcPr>
          <w:p w14:paraId="31B86B6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31A403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4" w:type="dxa"/>
            <w:noWrap w:val="0"/>
            <w:vAlign w:val="center"/>
          </w:tcPr>
          <w:p w14:paraId="6DCA41C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57" w:type="dxa"/>
            <w:noWrap w:val="0"/>
            <w:vAlign w:val="center"/>
          </w:tcPr>
          <w:p w14:paraId="329A0C5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5EB47F7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1771760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8BD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5" w:type="dxa"/>
            <w:noWrap w:val="0"/>
            <w:vAlign w:val="center"/>
          </w:tcPr>
          <w:p w14:paraId="376F4E7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788" w:type="dxa"/>
            <w:noWrap w:val="0"/>
            <w:vAlign w:val="center"/>
          </w:tcPr>
          <w:p w14:paraId="5C53C68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097BAD0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4" w:type="dxa"/>
            <w:noWrap w:val="0"/>
            <w:vAlign w:val="center"/>
          </w:tcPr>
          <w:p w14:paraId="2D59361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57" w:type="dxa"/>
            <w:noWrap w:val="0"/>
            <w:vAlign w:val="center"/>
          </w:tcPr>
          <w:p w14:paraId="5A83CBC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7C64E2A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1F2E7CE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1599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备注：新剧目奖无需填写参评人员。</w:t>
      </w:r>
    </w:p>
    <w:p w14:paraId="375165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宋体" w:cs="Times New Roman"/>
          <w:kern w:val="2"/>
          <w:sz w:val="24"/>
          <w:szCs w:val="32"/>
          <w:lang w:val="en-US" w:eastAsia="zh-CN" w:bidi="ar-SA"/>
        </w:rPr>
      </w:pPr>
      <w:r>
        <w:rPr>
          <w:rFonts w:hint="eastAsia"/>
          <w:sz w:val="24"/>
          <w:szCs w:val="32"/>
          <w:lang w:val="en-US" w:eastAsia="zh-CN"/>
        </w:rPr>
        <w:t xml:space="preserve">        </w:t>
      </w:r>
    </w:p>
    <w:p w14:paraId="4A2D3290"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ZjAwY2U5NzlmNzQxOTE1MzE5NmJlYjY4NWU3NmMifQ=="/>
  </w:docVars>
  <w:rsids>
    <w:rsidRoot w:val="00000000"/>
    <w:rsid w:val="2C1A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eastAsia="宋体" w:cs="Times New Roman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2024-08-15T08:24:53Z</dcterms:created>
  <dc:creator>PC</dc:creator>
  <cp:lastModifiedBy>郝建平</cp:lastModifiedBy>
  <dcterms:modified xsi:type="dcterms:W3CDTF">2024-08-15T08:25:03Z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DCC2487212F940E4B4761E29D90BEE65_12</vt:lpwstr>
  </property>
</Properties>
</file>