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4F755">
      <w:pPr>
        <w:adjustRightInd w:val="0"/>
        <w:snapToGrid w:val="0"/>
        <w:spacing w:line="600" w:lineRule="exact"/>
        <w:rPr>
          <w:rFonts w:hint="eastAsia" w:ascii="黑体" w:hAnsi="黑体" w:eastAsia="黑体" w:cs="宋体"/>
          <w:bCs w:val="0"/>
          <w:snapToGrid/>
          <w:sz w:val="28"/>
          <w:szCs w:val="28"/>
        </w:rPr>
      </w:pPr>
      <w:bookmarkStart w:id="0" w:name="_GoBack"/>
      <w:bookmarkEnd w:id="0"/>
      <w:r>
        <w:rPr>
          <w:rFonts w:hint="eastAsia" w:ascii="黑体" w:hAnsi="黑体" w:eastAsia="黑体" w:cs="宋体"/>
          <w:bCs w:val="0"/>
          <w:snapToGrid/>
          <w:sz w:val="28"/>
          <w:szCs w:val="28"/>
        </w:rPr>
        <w:t>附件</w:t>
      </w:r>
    </w:p>
    <w:p w14:paraId="316DAA80">
      <w:pPr>
        <w:adjustRightInd w:val="0"/>
        <w:snapToGrid w:val="0"/>
        <w:spacing w:line="240" w:lineRule="exact"/>
        <w:rPr>
          <w:rFonts w:hint="eastAsia" w:ascii="方正小标宋简体" w:hAnsi="宋体" w:eastAsia="方正小标宋简体" w:cs="宋体"/>
          <w:bCs w:val="0"/>
          <w:snapToGrid/>
          <w:sz w:val="40"/>
          <w:szCs w:val="40"/>
        </w:rPr>
      </w:pPr>
    </w:p>
    <w:p w14:paraId="4364B0CD">
      <w:pPr>
        <w:adjustRightInd w:val="0"/>
        <w:snapToGrid w:val="0"/>
        <w:spacing w:line="600" w:lineRule="exact"/>
        <w:jc w:val="center"/>
        <w:rPr>
          <w:rFonts w:hint="eastAsia" w:ascii="方正小标宋简体" w:hAnsi="宋体" w:eastAsia="方正小标宋简体" w:cs="宋体"/>
          <w:bCs w:val="0"/>
          <w:snapToGrid/>
          <w:sz w:val="44"/>
          <w:szCs w:val="44"/>
        </w:rPr>
      </w:pPr>
      <w:r>
        <w:rPr>
          <w:rFonts w:hint="eastAsia" w:ascii="方正小标宋简体" w:hAnsi="宋体" w:eastAsia="方正小标宋简体" w:cs="宋体"/>
          <w:bCs w:val="0"/>
          <w:snapToGrid/>
          <w:sz w:val="44"/>
          <w:szCs w:val="44"/>
        </w:rPr>
        <w:t>山西省文旅建设先进县评选标准（试行）</w:t>
      </w:r>
    </w:p>
    <w:p w14:paraId="0DBD9F17">
      <w:pPr>
        <w:adjustRightInd w:val="0"/>
        <w:snapToGrid w:val="0"/>
        <w:spacing w:line="240" w:lineRule="exact"/>
        <w:rPr>
          <w:rFonts w:hint="eastAsia" w:ascii="方正小标宋简体" w:hAnsi="宋体" w:eastAsia="方正小标宋简体" w:cs="宋体"/>
          <w:bCs w:val="0"/>
          <w:snapToGrid/>
          <w:sz w:val="40"/>
          <w:szCs w:val="4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500"/>
        <w:gridCol w:w="689"/>
        <w:gridCol w:w="7111"/>
        <w:gridCol w:w="722"/>
        <w:gridCol w:w="3432"/>
      </w:tblGrid>
      <w:tr w14:paraId="4A95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500" w:type="dxa"/>
            <w:noWrap w:val="0"/>
            <w:vAlign w:val="center"/>
          </w:tcPr>
          <w:p w14:paraId="7C9BA9E7">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指标类型</w:t>
            </w:r>
          </w:p>
        </w:tc>
        <w:tc>
          <w:tcPr>
            <w:tcW w:w="1500" w:type="dxa"/>
            <w:noWrap w:val="0"/>
            <w:vAlign w:val="center"/>
          </w:tcPr>
          <w:p w14:paraId="29FCFE91">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指标范畴</w:t>
            </w:r>
          </w:p>
        </w:tc>
        <w:tc>
          <w:tcPr>
            <w:tcW w:w="7800" w:type="dxa"/>
            <w:gridSpan w:val="2"/>
            <w:noWrap w:val="0"/>
            <w:vAlign w:val="center"/>
          </w:tcPr>
          <w:p w14:paraId="33B0183E">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具体指标</w:t>
            </w:r>
          </w:p>
        </w:tc>
        <w:tc>
          <w:tcPr>
            <w:tcW w:w="722" w:type="dxa"/>
            <w:noWrap w:val="0"/>
            <w:vAlign w:val="center"/>
          </w:tcPr>
          <w:p w14:paraId="78E573D7">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分值</w:t>
            </w:r>
          </w:p>
        </w:tc>
        <w:tc>
          <w:tcPr>
            <w:tcW w:w="3432" w:type="dxa"/>
            <w:noWrap w:val="0"/>
            <w:vAlign w:val="center"/>
          </w:tcPr>
          <w:p w14:paraId="2436160F">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备注</w:t>
            </w:r>
          </w:p>
        </w:tc>
      </w:tr>
      <w:tr w14:paraId="1637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restart"/>
            <w:noWrap w:val="0"/>
            <w:vAlign w:val="center"/>
          </w:tcPr>
          <w:p w14:paraId="4A3DD7B9">
            <w:pPr>
              <w:widowControl/>
              <w:spacing w:line="320" w:lineRule="exact"/>
              <w:jc w:val="left"/>
              <w:rPr>
                <w:rFonts w:hint="eastAsia" w:hAnsi="楷体" w:cs="宋体"/>
                <w:bCs w:val="0"/>
                <w:snapToGrid/>
                <w:sz w:val="24"/>
                <w:szCs w:val="24"/>
              </w:rPr>
            </w:pPr>
            <w:r>
              <w:rPr>
                <w:rFonts w:hint="eastAsia" w:hAnsi="楷体" w:cs="宋体"/>
                <w:bCs w:val="0"/>
                <w:snapToGrid/>
                <w:sz w:val="24"/>
                <w:szCs w:val="24"/>
              </w:rPr>
              <w:t>排斥性指标</w:t>
            </w:r>
          </w:p>
        </w:tc>
        <w:tc>
          <w:tcPr>
            <w:tcW w:w="1500" w:type="dxa"/>
            <w:vMerge w:val="restart"/>
            <w:noWrap w:val="0"/>
            <w:vAlign w:val="center"/>
          </w:tcPr>
          <w:p w14:paraId="74574D7F">
            <w:pPr>
              <w:widowControl/>
              <w:spacing w:line="32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服务环境</w:t>
            </w:r>
            <w:r>
              <w:rPr>
                <w:rFonts w:hint="eastAsia" w:hAnsi="楷体" w:cs="宋体"/>
                <w:bCs w:val="0"/>
                <w:snapToGrid/>
                <w:color w:val="000000"/>
                <w:sz w:val="24"/>
                <w:szCs w:val="24"/>
              </w:rPr>
              <w:br w:type="textWrapping"/>
            </w:r>
            <w:r>
              <w:rPr>
                <w:rFonts w:hint="eastAsia" w:hAnsi="楷体" w:cs="宋体"/>
                <w:bCs w:val="0"/>
                <w:snapToGrid/>
                <w:color w:val="000000"/>
                <w:sz w:val="24"/>
                <w:szCs w:val="24"/>
              </w:rPr>
              <w:t>治理</w:t>
            </w:r>
          </w:p>
        </w:tc>
        <w:tc>
          <w:tcPr>
            <w:tcW w:w="7800" w:type="dxa"/>
            <w:gridSpan w:val="2"/>
            <w:noWrap w:val="0"/>
            <w:vAlign w:val="center"/>
          </w:tcPr>
          <w:p w14:paraId="29D7E21F">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1.文旅经营场所3年内发生重大安全责任事故</w:t>
            </w:r>
          </w:p>
        </w:tc>
        <w:tc>
          <w:tcPr>
            <w:tcW w:w="722" w:type="dxa"/>
            <w:vMerge w:val="restart"/>
            <w:noWrap w:val="0"/>
            <w:vAlign w:val="center"/>
          </w:tcPr>
          <w:p w14:paraId="083E7762">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一票</w:t>
            </w:r>
            <w:r>
              <w:rPr>
                <w:rFonts w:hint="eastAsia" w:hAnsi="仿宋" w:cs="宋体"/>
                <w:bCs w:val="0"/>
                <w:snapToGrid/>
                <w:color w:val="000000"/>
                <w:sz w:val="24"/>
                <w:szCs w:val="24"/>
              </w:rPr>
              <w:br w:type="textWrapping"/>
            </w:r>
            <w:r>
              <w:rPr>
                <w:rFonts w:hint="eastAsia" w:hAnsi="仿宋" w:cs="宋体"/>
                <w:bCs w:val="0"/>
                <w:snapToGrid/>
                <w:color w:val="000000"/>
                <w:sz w:val="24"/>
                <w:szCs w:val="24"/>
              </w:rPr>
              <w:t>否决</w:t>
            </w:r>
          </w:p>
        </w:tc>
        <w:tc>
          <w:tcPr>
            <w:tcW w:w="3432" w:type="dxa"/>
            <w:vMerge w:val="restart"/>
            <w:noWrap w:val="0"/>
            <w:vAlign w:val="center"/>
          </w:tcPr>
          <w:p w14:paraId="464989E0">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不参与</w:t>
            </w:r>
            <w:r>
              <w:rPr>
                <w:rFonts w:hint="eastAsia" w:hAnsi="仿宋" w:cs="宋体"/>
                <w:bCs w:val="0"/>
                <w:snapToGrid/>
                <w:color w:val="000000"/>
                <w:sz w:val="24"/>
                <w:szCs w:val="24"/>
              </w:rPr>
              <w:br w:type="textWrapping"/>
            </w:r>
            <w:r>
              <w:rPr>
                <w:rFonts w:hint="eastAsia" w:hAnsi="仿宋" w:cs="宋体"/>
                <w:bCs w:val="0"/>
                <w:snapToGrid/>
                <w:color w:val="000000"/>
                <w:sz w:val="24"/>
                <w:szCs w:val="24"/>
              </w:rPr>
              <w:t>打分评选</w:t>
            </w:r>
          </w:p>
        </w:tc>
      </w:tr>
      <w:tr w14:paraId="4ECA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7492F09D">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5870AB9A">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19AE386C">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2.景区发生严重生态环境破坏、重大旅游投诉、旅游负面舆情等影响恶劣事件</w:t>
            </w:r>
          </w:p>
        </w:tc>
        <w:tc>
          <w:tcPr>
            <w:tcW w:w="722" w:type="dxa"/>
            <w:vMerge w:val="continue"/>
            <w:noWrap w:val="0"/>
            <w:vAlign w:val="center"/>
          </w:tcPr>
          <w:p w14:paraId="453C4834">
            <w:pPr>
              <w:widowControl/>
              <w:spacing w:line="320" w:lineRule="exact"/>
              <w:jc w:val="left"/>
              <w:rPr>
                <w:rFonts w:hint="eastAsia" w:hAnsi="仿宋" w:cs="宋体"/>
                <w:bCs w:val="0"/>
                <w:snapToGrid/>
                <w:color w:val="000000"/>
                <w:sz w:val="24"/>
                <w:szCs w:val="24"/>
              </w:rPr>
            </w:pPr>
          </w:p>
        </w:tc>
        <w:tc>
          <w:tcPr>
            <w:tcW w:w="3432" w:type="dxa"/>
            <w:vMerge w:val="continue"/>
            <w:noWrap w:val="0"/>
            <w:vAlign w:val="center"/>
          </w:tcPr>
          <w:p w14:paraId="2042737E">
            <w:pPr>
              <w:widowControl/>
              <w:spacing w:line="320" w:lineRule="exact"/>
              <w:jc w:val="left"/>
              <w:rPr>
                <w:rFonts w:hint="eastAsia" w:hAnsi="仿宋" w:cs="宋体"/>
                <w:bCs w:val="0"/>
                <w:snapToGrid/>
                <w:color w:val="000000"/>
                <w:sz w:val="24"/>
                <w:szCs w:val="24"/>
              </w:rPr>
            </w:pPr>
          </w:p>
        </w:tc>
      </w:tr>
      <w:tr w14:paraId="3BFD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restart"/>
            <w:noWrap w:val="0"/>
            <w:vAlign w:val="center"/>
          </w:tcPr>
          <w:p w14:paraId="6ED3B67A">
            <w:pPr>
              <w:widowControl/>
              <w:spacing w:line="320" w:lineRule="exact"/>
              <w:jc w:val="center"/>
              <w:rPr>
                <w:rFonts w:hint="eastAsia" w:hAnsi="楷体" w:cs="宋体"/>
                <w:bCs w:val="0"/>
                <w:snapToGrid/>
                <w:sz w:val="24"/>
                <w:szCs w:val="24"/>
              </w:rPr>
            </w:pPr>
            <w:r>
              <w:rPr>
                <w:rFonts w:hint="eastAsia" w:hAnsi="楷体" w:cs="宋体"/>
                <w:bCs w:val="0"/>
                <w:snapToGrid/>
                <w:sz w:val="24"/>
                <w:szCs w:val="24"/>
              </w:rPr>
              <w:t>基础性指标</w:t>
            </w:r>
          </w:p>
        </w:tc>
        <w:tc>
          <w:tcPr>
            <w:tcW w:w="1500" w:type="dxa"/>
            <w:vMerge w:val="restart"/>
            <w:noWrap w:val="0"/>
            <w:vAlign w:val="center"/>
          </w:tcPr>
          <w:p w14:paraId="78A49318">
            <w:pPr>
              <w:widowControl/>
              <w:spacing w:line="32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1.体制机制</w:t>
            </w:r>
          </w:p>
        </w:tc>
        <w:tc>
          <w:tcPr>
            <w:tcW w:w="7800" w:type="dxa"/>
            <w:gridSpan w:val="2"/>
            <w:noWrap w:val="0"/>
            <w:vAlign w:val="center"/>
          </w:tcPr>
          <w:p w14:paraId="54B9A38A">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1.1 贯彻落实《中华人民共和国公共文化服务保障法》《中华人民共和国旅游法》《中华人民共和国公共图书馆法》等法律法规,将文旅公共服务纳入本级国民经济和社会发展规划；将文旅公共设施建设纳入土地利用总体规划和城乡规划</w:t>
            </w:r>
          </w:p>
        </w:tc>
        <w:tc>
          <w:tcPr>
            <w:tcW w:w="722" w:type="dxa"/>
            <w:noWrap w:val="0"/>
            <w:vAlign w:val="center"/>
          </w:tcPr>
          <w:p w14:paraId="58E0D2C6">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4E0FBF2F">
            <w:pPr>
              <w:widowControl/>
              <w:spacing w:line="320" w:lineRule="exact"/>
              <w:jc w:val="center"/>
              <w:rPr>
                <w:rFonts w:hint="eastAsia" w:hAnsi="楷体" w:cs="宋体"/>
                <w:b/>
                <w:snapToGrid/>
                <w:color w:val="000000"/>
                <w:sz w:val="24"/>
                <w:szCs w:val="24"/>
              </w:rPr>
            </w:pPr>
            <w:r>
              <w:rPr>
                <w:rFonts w:hint="eastAsia" w:hAnsi="楷体" w:cs="宋体"/>
                <w:b/>
                <w:snapToGrid/>
                <w:color w:val="000000"/>
                <w:sz w:val="24"/>
                <w:szCs w:val="24"/>
              </w:rPr>
              <w:t>　</w:t>
            </w:r>
          </w:p>
        </w:tc>
      </w:tr>
      <w:tr w14:paraId="12D6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0A685D6B">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71F6AB87">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2D23C629">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1.2 将文旅建设纳入党委、政府目标责任制考核范畴</w:t>
            </w:r>
          </w:p>
        </w:tc>
        <w:tc>
          <w:tcPr>
            <w:tcW w:w="722" w:type="dxa"/>
            <w:noWrap w:val="0"/>
            <w:vAlign w:val="center"/>
          </w:tcPr>
          <w:p w14:paraId="61492ECD">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7BEECEAE">
            <w:pPr>
              <w:widowControl/>
              <w:spacing w:line="320" w:lineRule="exact"/>
              <w:jc w:val="center"/>
              <w:rPr>
                <w:rFonts w:hint="eastAsia" w:hAnsi="楷体" w:cs="宋体"/>
                <w:b/>
                <w:snapToGrid/>
                <w:color w:val="000000"/>
                <w:sz w:val="24"/>
                <w:szCs w:val="24"/>
              </w:rPr>
            </w:pPr>
            <w:r>
              <w:rPr>
                <w:rFonts w:hint="eastAsia" w:hAnsi="楷体" w:cs="宋体"/>
                <w:b/>
                <w:snapToGrid/>
                <w:color w:val="000000"/>
                <w:sz w:val="24"/>
                <w:szCs w:val="24"/>
              </w:rPr>
              <w:t>　</w:t>
            </w:r>
          </w:p>
        </w:tc>
      </w:tr>
      <w:tr w14:paraId="5C58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41E941A4">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4CB1D288">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0E66F079">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1.3 统筹文旅融合发展事宜，建立部门联动、形成工作合力的文旅综合协调机制和工作推进机制</w:t>
            </w:r>
          </w:p>
        </w:tc>
        <w:tc>
          <w:tcPr>
            <w:tcW w:w="722" w:type="dxa"/>
            <w:noWrap w:val="0"/>
            <w:vAlign w:val="center"/>
          </w:tcPr>
          <w:p w14:paraId="550B652B">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1D55E720">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DC5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64121EBC">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7890F067">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76CE3BF9">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1.4 文旅执法队伍健全，文化市场综合执法改革政策落实到位，实行“局队合一”执法体制</w:t>
            </w:r>
          </w:p>
        </w:tc>
        <w:tc>
          <w:tcPr>
            <w:tcW w:w="722" w:type="dxa"/>
            <w:noWrap w:val="0"/>
            <w:vAlign w:val="center"/>
          </w:tcPr>
          <w:p w14:paraId="53257034">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20</w:t>
            </w:r>
          </w:p>
        </w:tc>
        <w:tc>
          <w:tcPr>
            <w:tcW w:w="3432" w:type="dxa"/>
            <w:noWrap w:val="0"/>
            <w:vAlign w:val="center"/>
          </w:tcPr>
          <w:p w14:paraId="0FC267BE">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0A7F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79DD7A23">
            <w:pPr>
              <w:widowControl/>
              <w:spacing w:line="320" w:lineRule="exact"/>
              <w:jc w:val="left"/>
              <w:rPr>
                <w:rFonts w:hint="eastAsia" w:hAnsi="楷体" w:cs="宋体"/>
                <w:bCs w:val="0"/>
                <w:snapToGrid/>
                <w:sz w:val="24"/>
                <w:szCs w:val="24"/>
              </w:rPr>
            </w:pPr>
          </w:p>
        </w:tc>
        <w:tc>
          <w:tcPr>
            <w:tcW w:w="1500" w:type="dxa"/>
            <w:vMerge w:val="restart"/>
            <w:noWrap w:val="0"/>
            <w:vAlign w:val="center"/>
          </w:tcPr>
          <w:p w14:paraId="362DAC0F">
            <w:pPr>
              <w:widowControl/>
              <w:spacing w:line="32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2.政策措施</w:t>
            </w:r>
          </w:p>
        </w:tc>
        <w:tc>
          <w:tcPr>
            <w:tcW w:w="7800" w:type="dxa"/>
            <w:gridSpan w:val="2"/>
            <w:noWrap w:val="0"/>
            <w:vAlign w:val="center"/>
          </w:tcPr>
          <w:p w14:paraId="64DE2026">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2.1  积极落实国家和省委、省政府关于文旅发展的各项政策措施和促进文旅建设的税收、土地等优惠政策</w:t>
            </w:r>
          </w:p>
        </w:tc>
        <w:tc>
          <w:tcPr>
            <w:tcW w:w="722" w:type="dxa"/>
            <w:noWrap w:val="0"/>
            <w:vAlign w:val="center"/>
          </w:tcPr>
          <w:p w14:paraId="42235C11">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3083DC1D">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0361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213FA185">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2840C887">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251CE7BA">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2.2 制定出台本级文旅事业发展政策和产业发展规划，对文旅工作有部署、有督导、有落实</w:t>
            </w:r>
          </w:p>
        </w:tc>
        <w:tc>
          <w:tcPr>
            <w:tcW w:w="722" w:type="dxa"/>
            <w:noWrap w:val="0"/>
            <w:vAlign w:val="center"/>
          </w:tcPr>
          <w:p w14:paraId="092A604B">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20</w:t>
            </w:r>
          </w:p>
        </w:tc>
        <w:tc>
          <w:tcPr>
            <w:tcW w:w="3432" w:type="dxa"/>
            <w:noWrap w:val="0"/>
            <w:vAlign w:val="center"/>
          </w:tcPr>
          <w:p w14:paraId="00963195">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6FDD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38EC9058">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7B10AF46">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77D15BCA">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2.3 制定公布本行政区域公共文化设施目录、服务目录并组织实施</w:t>
            </w:r>
          </w:p>
        </w:tc>
        <w:tc>
          <w:tcPr>
            <w:tcW w:w="722" w:type="dxa"/>
            <w:noWrap w:val="0"/>
            <w:vAlign w:val="center"/>
          </w:tcPr>
          <w:p w14:paraId="61379213">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2BF0D826">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6D48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0DA4CD69">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56792305">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5C24F8DD">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2.4 贯彻落实《关于做好政府向社会力量购买公共文化服务工作的意见》，有明确的购买项目和内容，并及时向社会公布</w:t>
            </w:r>
          </w:p>
        </w:tc>
        <w:tc>
          <w:tcPr>
            <w:tcW w:w="722" w:type="dxa"/>
            <w:noWrap w:val="0"/>
            <w:vAlign w:val="center"/>
          </w:tcPr>
          <w:p w14:paraId="2F4BAFA5">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7E801CD7">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33D1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00" w:type="dxa"/>
            <w:vMerge w:val="continue"/>
            <w:noWrap w:val="0"/>
            <w:vAlign w:val="center"/>
          </w:tcPr>
          <w:p w14:paraId="5B63EABA">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491FA70E">
            <w:pPr>
              <w:widowControl/>
              <w:spacing w:line="320" w:lineRule="exact"/>
              <w:jc w:val="left"/>
              <w:rPr>
                <w:rFonts w:hint="eastAsia" w:hAnsi="楷体" w:cs="宋体"/>
                <w:bCs w:val="0"/>
                <w:snapToGrid/>
                <w:color w:val="000000"/>
                <w:sz w:val="24"/>
                <w:szCs w:val="24"/>
              </w:rPr>
            </w:pPr>
          </w:p>
        </w:tc>
        <w:tc>
          <w:tcPr>
            <w:tcW w:w="7800" w:type="dxa"/>
            <w:gridSpan w:val="2"/>
            <w:noWrap w:val="0"/>
            <w:vAlign w:val="center"/>
          </w:tcPr>
          <w:p w14:paraId="02500D9F">
            <w:pPr>
              <w:widowControl/>
              <w:spacing w:line="32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2.5 现代文化和旅游管理、行业统计、从业人员教育培训及行业标准等制度健全、完善</w:t>
            </w:r>
          </w:p>
        </w:tc>
        <w:tc>
          <w:tcPr>
            <w:tcW w:w="722" w:type="dxa"/>
            <w:noWrap w:val="0"/>
            <w:vAlign w:val="center"/>
          </w:tcPr>
          <w:p w14:paraId="64081FA6">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5A5F419E">
            <w:pPr>
              <w:widowControl/>
              <w:spacing w:line="32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240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restart"/>
            <w:noWrap w:val="0"/>
            <w:vAlign w:val="center"/>
          </w:tcPr>
          <w:p w14:paraId="72EDF012">
            <w:pPr>
              <w:widowControl/>
              <w:spacing w:line="32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基础性指标</w:t>
            </w:r>
          </w:p>
        </w:tc>
        <w:tc>
          <w:tcPr>
            <w:tcW w:w="1500" w:type="dxa"/>
            <w:vMerge w:val="restart"/>
            <w:noWrap w:val="0"/>
            <w:vAlign w:val="center"/>
          </w:tcPr>
          <w:p w14:paraId="672C8E4E">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3.投入保障</w:t>
            </w:r>
          </w:p>
        </w:tc>
        <w:tc>
          <w:tcPr>
            <w:tcW w:w="7800" w:type="dxa"/>
            <w:gridSpan w:val="2"/>
            <w:noWrap w:val="0"/>
            <w:vAlign w:val="center"/>
          </w:tcPr>
          <w:p w14:paraId="5C716E08">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3.1 近3年每年文旅专项资金投入增幅不低于当年同级财政一般公共预算收入的增幅</w:t>
            </w:r>
          </w:p>
        </w:tc>
        <w:tc>
          <w:tcPr>
            <w:tcW w:w="722" w:type="dxa"/>
            <w:noWrap w:val="0"/>
            <w:vAlign w:val="center"/>
          </w:tcPr>
          <w:p w14:paraId="3F6F24E0">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3D217C87">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704B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500" w:type="dxa"/>
            <w:vMerge w:val="continue"/>
            <w:noWrap w:val="0"/>
            <w:vAlign w:val="center"/>
          </w:tcPr>
          <w:p w14:paraId="215CC602">
            <w:pPr>
              <w:widowControl/>
              <w:spacing w:line="320" w:lineRule="exact"/>
              <w:jc w:val="left"/>
              <w:rPr>
                <w:rFonts w:hint="eastAsia" w:hAnsi="楷体" w:cs="宋体"/>
                <w:bCs w:val="0"/>
                <w:snapToGrid/>
                <w:color w:val="000000"/>
                <w:sz w:val="24"/>
                <w:szCs w:val="24"/>
              </w:rPr>
            </w:pPr>
          </w:p>
        </w:tc>
        <w:tc>
          <w:tcPr>
            <w:tcW w:w="1500" w:type="dxa"/>
            <w:vMerge w:val="continue"/>
            <w:noWrap w:val="0"/>
            <w:vAlign w:val="center"/>
          </w:tcPr>
          <w:p w14:paraId="0B8726CC">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4F8FC29A">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3.2 文旅单位人员、业务和日常运行等经费保障机制健全，列入年度预算并按时足额拨付</w:t>
            </w:r>
          </w:p>
        </w:tc>
        <w:tc>
          <w:tcPr>
            <w:tcW w:w="722" w:type="dxa"/>
            <w:noWrap w:val="0"/>
            <w:vAlign w:val="center"/>
          </w:tcPr>
          <w:p w14:paraId="0F293D73">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689EBE0E">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86C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500" w:type="dxa"/>
            <w:vMerge w:val="continue"/>
            <w:noWrap w:val="0"/>
            <w:vAlign w:val="center"/>
          </w:tcPr>
          <w:p w14:paraId="238AC0E9">
            <w:pPr>
              <w:widowControl/>
              <w:spacing w:line="320" w:lineRule="exact"/>
              <w:jc w:val="left"/>
              <w:rPr>
                <w:rFonts w:hint="eastAsia" w:hAnsi="楷体" w:cs="宋体"/>
                <w:bCs w:val="0"/>
                <w:snapToGrid/>
                <w:color w:val="000000"/>
                <w:sz w:val="24"/>
                <w:szCs w:val="24"/>
              </w:rPr>
            </w:pPr>
          </w:p>
        </w:tc>
        <w:tc>
          <w:tcPr>
            <w:tcW w:w="1500" w:type="dxa"/>
            <w:vMerge w:val="continue"/>
            <w:noWrap w:val="0"/>
            <w:vAlign w:val="center"/>
          </w:tcPr>
          <w:p w14:paraId="2F1ACC74">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69A11500">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3.3 县级足额配套图书馆、文化馆（文化站）、美术馆等机构免费开放经费；有非物质文化遗产保护、艺术创作、文化活动、宣传推介等专项业务经费；将政府购买文旅公共服务资金纳入本地财政预算，促进文旅公共服务提供主体和提供方式多元化</w:t>
            </w:r>
          </w:p>
        </w:tc>
        <w:tc>
          <w:tcPr>
            <w:tcW w:w="722" w:type="dxa"/>
            <w:noWrap w:val="0"/>
            <w:vAlign w:val="center"/>
          </w:tcPr>
          <w:p w14:paraId="5E49E8FD">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20</w:t>
            </w:r>
          </w:p>
        </w:tc>
        <w:tc>
          <w:tcPr>
            <w:tcW w:w="3432" w:type="dxa"/>
            <w:noWrap w:val="0"/>
            <w:vAlign w:val="center"/>
          </w:tcPr>
          <w:p w14:paraId="3805E642">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免费开放经费10分；专项业务经费5分；购买服务经费5分</w:t>
            </w:r>
          </w:p>
        </w:tc>
      </w:tr>
      <w:tr w14:paraId="70C0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3EF5A0C1">
            <w:pPr>
              <w:widowControl/>
              <w:spacing w:line="320" w:lineRule="exact"/>
              <w:jc w:val="left"/>
              <w:rPr>
                <w:rFonts w:hint="eastAsia" w:hAnsi="楷体" w:cs="宋体"/>
                <w:bCs w:val="0"/>
                <w:snapToGrid/>
                <w:color w:val="000000"/>
                <w:sz w:val="24"/>
                <w:szCs w:val="24"/>
              </w:rPr>
            </w:pPr>
          </w:p>
        </w:tc>
        <w:tc>
          <w:tcPr>
            <w:tcW w:w="1500" w:type="dxa"/>
            <w:vMerge w:val="restart"/>
            <w:noWrap w:val="0"/>
            <w:vAlign w:val="center"/>
          </w:tcPr>
          <w:p w14:paraId="433ED4C6">
            <w:pPr>
              <w:widowControl/>
              <w:spacing w:line="360" w:lineRule="exact"/>
              <w:jc w:val="left"/>
              <w:rPr>
                <w:rFonts w:hint="eastAsia" w:hAnsi="楷体" w:cs="宋体"/>
                <w:bCs w:val="0"/>
                <w:snapToGrid/>
                <w:color w:val="000000"/>
                <w:sz w:val="24"/>
                <w:szCs w:val="24"/>
              </w:rPr>
            </w:pPr>
            <w:r>
              <w:rPr>
                <w:rFonts w:hint="eastAsia" w:hAnsi="楷体" w:cs="宋体"/>
                <w:bCs w:val="0"/>
                <w:snapToGrid/>
                <w:color w:val="000000"/>
                <w:sz w:val="24"/>
                <w:szCs w:val="24"/>
              </w:rPr>
              <w:t>4.设施网络</w:t>
            </w:r>
          </w:p>
        </w:tc>
        <w:tc>
          <w:tcPr>
            <w:tcW w:w="689" w:type="dxa"/>
            <w:vMerge w:val="restart"/>
            <w:noWrap w:val="0"/>
            <w:vAlign w:val="center"/>
          </w:tcPr>
          <w:p w14:paraId="6BF13ABE">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4.1</w:t>
            </w:r>
            <w:r>
              <w:rPr>
                <w:rFonts w:hint="eastAsia" w:hAnsi="仿宋" w:cs="宋体"/>
                <w:bCs w:val="0"/>
                <w:snapToGrid/>
                <w:color w:val="000000"/>
                <w:sz w:val="24"/>
                <w:szCs w:val="24"/>
              </w:rPr>
              <w:br w:type="textWrapping"/>
            </w:r>
            <w:r>
              <w:rPr>
                <w:rFonts w:hint="eastAsia" w:hAnsi="仿宋" w:cs="宋体"/>
                <w:bCs w:val="0"/>
                <w:snapToGrid/>
                <w:color w:val="000000"/>
                <w:sz w:val="24"/>
                <w:szCs w:val="24"/>
              </w:rPr>
              <w:t>硬件设施</w:t>
            </w:r>
          </w:p>
        </w:tc>
        <w:tc>
          <w:tcPr>
            <w:tcW w:w="7111" w:type="dxa"/>
            <w:noWrap w:val="0"/>
            <w:vAlign w:val="center"/>
          </w:tcPr>
          <w:p w14:paraId="13992569">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4.1.1 县级图书馆、文化馆符合国家《公共图书馆建设标准》《文化馆建设标准》，乡镇（街道）建有综合文化站，均达到部颁三级以上标准</w:t>
            </w:r>
          </w:p>
        </w:tc>
        <w:tc>
          <w:tcPr>
            <w:tcW w:w="722" w:type="dxa"/>
            <w:noWrap w:val="0"/>
            <w:vAlign w:val="center"/>
          </w:tcPr>
          <w:p w14:paraId="5180EE1C">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21</w:t>
            </w:r>
          </w:p>
        </w:tc>
        <w:tc>
          <w:tcPr>
            <w:tcW w:w="3432" w:type="dxa"/>
            <w:noWrap w:val="0"/>
            <w:vAlign w:val="center"/>
          </w:tcPr>
          <w:p w14:paraId="5C607A5E">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图书馆达标7分；文化馆达标7分；文化站达标7分</w:t>
            </w:r>
          </w:p>
        </w:tc>
      </w:tr>
      <w:tr w14:paraId="7C54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18FB8E0A">
            <w:pPr>
              <w:widowControl/>
              <w:spacing w:line="320" w:lineRule="exact"/>
              <w:jc w:val="left"/>
              <w:rPr>
                <w:rFonts w:hint="eastAsia" w:hAnsi="楷体" w:cs="宋体"/>
                <w:bCs w:val="0"/>
                <w:snapToGrid/>
                <w:color w:val="000000"/>
                <w:sz w:val="24"/>
                <w:szCs w:val="24"/>
              </w:rPr>
            </w:pPr>
          </w:p>
        </w:tc>
        <w:tc>
          <w:tcPr>
            <w:tcW w:w="1500" w:type="dxa"/>
            <w:vMerge w:val="continue"/>
            <w:noWrap w:val="0"/>
            <w:vAlign w:val="center"/>
          </w:tcPr>
          <w:p w14:paraId="58CCC388">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6A2B0C2D">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1C4EECE9">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4.1.2 90%以上的城镇社区和行政村整合基层文化宣传、党员教育、科学普及、体育健身等设施，建成综合性文化服务中心（所辖基层文化阵地符合有队伍、有活动、有场所、有设备“四有”标准）</w:t>
            </w:r>
          </w:p>
        </w:tc>
        <w:tc>
          <w:tcPr>
            <w:tcW w:w="722" w:type="dxa"/>
            <w:noWrap w:val="0"/>
            <w:vAlign w:val="center"/>
          </w:tcPr>
          <w:p w14:paraId="373632F4">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3749FE74">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707C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247D84C3">
            <w:pPr>
              <w:widowControl/>
              <w:spacing w:line="320" w:lineRule="exact"/>
              <w:jc w:val="left"/>
              <w:rPr>
                <w:rFonts w:hint="eastAsia" w:hAnsi="楷体" w:cs="宋体"/>
                <w:bCs w:val="0"/>
                <w:snapToGrid/>
                <w:color w:val="000000"/>
                <w:sz w:val="24"/>
                <w:szCs w:val="24"/>
              </w:rPr>
            </w:pPr>
          </w:p>
        </w:tc>
        <w:tc>
          <w:tcPr>
            <w:tcW w:w="1500" w:type="dxa"/>
            <w:vMerge w:val="continue"/>
            <w:noWrap w:val="0"/>
            <w:vAlign w:val="center"/>
          </w:tcPr>
          <w:p w14:paraId="0DA217BD">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2BF48BAD">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2659BF92">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4.1.3 拥有1个县级非物质文化遗产综合展示传习中心（馆），3个以上乡镇建有乡村文化记忆展示馆</w:t>
            </w:r>
          </w:p>
        </w:tc>
        <w:tc>
          <w:tcPr>
            <w:tcW w:w="722" w:type="dxa"/>
            <w:noWrap w:val="0"/>
            <w:vAlign w:val="center"/>
          </w:tcPr>
          <w:p w14:paraId="74CBEDAF">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2B5DBABB">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EFE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655C4D1F">
            <w:pPr>
              <w:widowControl/>
              <w:spacing w:line="320" w:lineRule="exact"/>
              <w:jc w:val="left"/>
              <w:rPr>
                <w:rFonts w:hint="eastAsia" w:hAnsi="楷体" w:cs="宋体"/>
                <w:bCs w:val="0"/>
                <w:snapToGrid/>
                <w:color w:val="000000"/>
                <w:sz w:val="24"/>
                <w:szCs w:val="24"/>
              </w:rPr>
            </w:pPr>
          </w:p>
        </w:tc>
        <w:tc>
          <w:tcPr>
            <w:tcW w:w="1500" w:type="dxa"/>
            <w:vMerge w:val="continue"/>
            <w:noWrap w:val="0"/>
            <w:vAlign w:val="center"/>
          </w:tcPr>
          <w:p w14:paraId="20997B24">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77FD0756">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68AB7454">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4.1.4 县域内拥有2家3A级以上景区或1家4A级以上景区；2家三星级以上旅游饭店；有5家以上旅行社（含旅行社服务网点）；设有旅游集散中心</w:t>
            </w:r>
          </w:p>
        </w:tc>
        <w:tc>
          <w:tcPr>
            <w:tcW w:w="722" w:type="dxa"/>
            <w:noWrap w:val="0"/>
            <w:vAlign w:val="center"/>
          </w:tcPr>
          <w:p w14:paraId="47880F86">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30</w:t>
            </w:r>
          </w:p>
        </w:tc>
        <w:tc>
          <w:tcPr>
            <w:tcW w:w="3432" w:type="dxa"/>
            <w:noWrap w:val="0"/>
            <w:vAlign w:val="center"/>
          </w:tcPr>
          <w:p w14:paraId="51C074D2">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景区10分；星级饭店5分；旅行社5分；集散中心10分</w:t>
            </w:r>
          </w:p>
        </w:tc>
      </w:tr>
      <w:tr w14:paraId="6263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70D614DE">
            <w:pPr>
              <w:widowControl/>
              <w:spacing w:line="320" w:lineRule="exact"/>
              <w:jc w:val="left"/>
              <w:rPr>
                <w:rFonts w:hint="eastAsia" w:hAnsi="楷体" w:cs="宋体"/>
                <w:bCs w:val="0"/>
                <w:snapToGrid/>
                <w:color w:val="000000"/>
                <w:sz w:val="24"/>
                <w:szCs w:val="24"/>
              </w:rPr>
            </w:pPr>
          </w:p>
        </w:tc>
        <w:tc>
          <w:tcPr>
            <w:tcW w:w="1500" w:type="dxa"/>
            <w:vMerge w:val="continue"/>
            <w:noWrap w:val="0"/>
            <w:vAlign w:val="center"/>
          </w:tcPr>
          <w:p w14:paraId="08F82B4C">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0D531829">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37B81751">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4.1.5 旅游景区全部实现三通（通路、通水、通电），其中通景公路达3级以上公路标准、乡村旅游公路达等级公路标准</w:t>
            </w:r>
          </w:p>
        </w:tc>
        <w:tc>
          <w:tcPr>
            <w:tcW w:w="722" w:type="dxa"/>
            <w:noWrap w:val="0"/>
            <w:vAlign w:val="center"/>
          </w:tcPr>
          <w:p w14:paraId="5D585528">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2D753E94">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2A04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500" w:type="dxa"/>
            <w:vMerge w:val="restart"/>
            <w:noWrap w:val="0"/>
            <w:vAlign w:val="center"/>
          </w:tcPr>
          <w:p w14:paraId="33242918">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基础性指标</w:t>
            </w:r>
          </w:p>
        </w:tc>
        <w:tc>
          <w:tcPr>
            <w:tcW w:w="1500" w:type="dxa"/>
            <w:vMerge w:val="restart"/>
            <w:noWrap w:val="0"/>
            <w:vAlign w:val="center"/>
          </w:tcPr>
          <w:p w14:paraId="03839763">
            <w:pPr>
              <w:widowControl/>
              <w:spacing w:line="360" w:lineRule="exact"/>
              <w:jc w:val="left"/>
              <w:rPr>
                <w:rFonts w:hint="eastAsia" w:hAnsi="楷体" w:cs="宋体"/>
                <w:bCs w:val="0"/>
                <w:snapToGrid/>
                <w:color w:val="000000"/>
                <w:sz w:val="24"/>
                <w:szCs w:val="24"/>
              </w:rPr>
            </w:pPr>
            <w:r>
              <w:rPr>
                <w:rFonts w:hint="eastAsia" w:hAnsi="楷体" w:cs="宋体"/>
                <w:bCs w:val="0"/>
                <w:snapToGrid/>
                <w:color w:val="000000"/>
                <w:sz w:val="24"/>
                <w:szCs w:val="24"/>
              </w:rPr>
              <w:t>4.设施网络</w:t>
            </w:r>
          </w:p>
        </w:tc>
        <w:tc>
          <w:tcPr>
            <w:tcW w:w="689" w:type="dxa"/>
            <w:vMerge w:val="restart"/>
            <w:noWrap w:val="0"/>
            <w:vAlign w:val="center"/>
          </w:tcPr>
          <w:p w14:paraId="7AE5A1BA">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4.1</w:t>
            </w:r>
            <w:r>
              <w:rPr>
                <w:rFonts w:hAnsi="仿宋" w:cs="宋体"/>
                <w:bCs w:val="0"/>
                <w:snapToGrid/>
                <w:color w:val="000000"/>
                <w:sz w:val="24"/>
                <w:szCs w:val="24"/>
              </w:rPr>
              <w:br w:type="textWrapping"/>
            </w:r>
            <w:r>
              <w:rPr>
                <w:rFonts w:hint="eastAsia" w:hAnsi="仿宋" w:cs="宋体"/>
                <w:bCs w:val="0"/>
                <w:snapToGrid/>
                <w:color w:val="000000"/>
                <w:sz w:val="24"/>
                <w:szCs w:val="24"/>
              </w:rPr>
              <w:t>硬件设施</w:t>
            </w:r>
          </w:p>
        </w:tc>
        <w:tc>
          <w:tcPr>
            <w:tcW w:w="7111" w:type="dxa"/>
            <w:noWrap w:val="0"/>
            <w:vAlign w:val="center"/>
          </w:tcPr>
          <w:p w14:paraId="2D57F1F0">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4.1.6 旅游住宿、餐饮、购物、娱乐、卫生等基础设施达到相应的建设规范（JGJ36-2016、JGJ 64-2017等）和公共安全卫生标准（ GB 37488-2019 、GB 14934-2016等）</w:t>
            </w:r>
          </w:p>
        </w:tc>
        <w:tc>
          <w:tcPr>
            <w:tcW w:w="722" w:type="dxa"/>
            <w:noWrap w:val="0"/>
            <w:vAlign w:val="center"/>
          </w:tcPr>
          <w:p w14:paraId="5ACA96B3">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1EB7E880">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543C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2002495B">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26F935B3">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3E389E50">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251573EA">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4.1.7 A级以上景区游客服务中心、停车场、标识标牌等服务设施健全</w:t>
            </w:r>
          </w:p>
        </w:tc>
        <w:tc>
          <w:tcPr>
            <w:tcW w:w="722" w:type="dxa"/>
            <w:noWrap w:val="0"/>
            <w:vAlign w:val="center"/>
          </w:tcPr>
          <w:p w14:paraId="5AD64B62">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66F01FE3">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2680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00" w:type="dxa"/>
            <w:vMerge w:val="continue"/>
            <w:noWrap w:val="0"/>
            <w:vAlign w:val="center"/>
          </w:tcPr>
          <w:p w14:paraId="0A599A2A">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782A0C21">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3276CC7E">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0CF2FF8B">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4.1.8 A级以上景区的旅游厕所数量充足、分布合理,与整体环境相融合</w:t>
            </w:r>
          </w:p>
        </w:tc>
        <w:tc>
          <w:tcPr>
            <w:tcW w:w="722" w:type="dxa"/>
            <w:noWrap w:val="0"/>
            <w:vAlign w:val="center"/>
          </w:tcPr>
          <w:p w14:paraId="0530FF57">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55561206">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4EE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500" w:type="dxa"/>
            <w:vMerge w:val="continue"/>
            <w:noWrap w:val="0"/>
            <w:vAlign w:val="center"/>
          </w:tcPr>
          <w:p w14:paraId="300DD63F">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7E725B67">
            <w:pPr>
              <w:widowControl/>
              <w:spacing w:line="360" w:lineRule="exact"/>
              <w:jc w:val="left"/>
              <w:rPr>
                <w:rFonts w:hint="eastAsia" w:hAnsi="楷体" w:cs="宋体"/>
                <w:bCs w:val="0"/>
                <w:snapToGrid/>
                <w:color w:val="000000"/>
                <w:sz w:val="24"/>
                <w:szCs w:val="24"/>
              </w:rPr>
            </w:pPr>
          </w:p>
        </w:tc>
        <w:tc>
          <w:tcPr>
            <w:tcW w:w="689" w:type="dxa"/>
            <w:vMerge w:val="restart"/>
            <w:noWrap w:val="0"/>
            <w:vAlign w:val="center"/>
          </w:tcPr>
          <w:p w14:paraId="35ACD7BD">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4.2</w:t>
            </w:r>
            <w:r>
              <w:rPr>
                <w:rFonts w:hint="eastAsia" w:hAnsi="仿宋" w:cs="宋体"/>
                <w:bCs w:val="0"/>
                <w:snapToGrid/>
                <w:color w:val="000000"/>
                <w:sz w:val="24"/>
                <w:szCs w:val="24"/>
              </w:rPr>
              <w:br w:type="textWrapping"/>
            </w:r>
            <w:r>
              <w:rPr>
                <w:rFonts w:hint="eastAsia" w:hAnsi="仿宋" w:cs="宋体"/>
                <w:bCs w:val="0"/>
                <w:snapToGrid/>
                <w:color w:val="000000"/>
                <w:sz w:val="24"/>
                <w:szCs w:val="24"/>
              </w:rPr>
              <w:t>内容建设</w:t>
            </w:r>
          </w:p>
        </w:tc>
        <w:tc>
          <w:tcPr>
            <w:tcW w:w="7111" w:type="dxa"/>
            <w:noWrap w:val="0"/>
            <w:vAlign w:val="center"/>
          </w:tcPr>
          <w:p w14:paraId="39BAC59B">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4.2.1 公共图书馆、文化馆（站）、博物馆、美术馆、科技馆等公共文化设施按照国家有关规定，向公众免费或优惠开放，基本服务项目健全,公示服务项目和开放时间;图书馆人均购书费、人均藏书量均高于全省平均水平（2019年全省图书馆人均购书费0.745元、人均藏书量0.545本）</w:t>
            </w:r>
          </w:p>
        </w:tc>
        <w:tc>
          <w:tcPr>
            <w:tcW w:w="722" w:type="dxa"/>
            <w:noWrap w:val="0"/>
            <w:vAlign w:val="center"/>
          </w:tcPr>
          <w:p w14:paraId="582DE4BA">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20</w:t>
            </w:r>
          </w:p>
        </w:tc>
        <w:tc>
          <w:tcPr>
            <w:tcW w:w="3432" w:type="dxa"/>
            <w:noWrap w:val="0"/>
            <w:vAlign w:val="center"/>
          </w:tcPr>
          <w:p w14:paraId="42B1BF91">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免费开放5分；公示服务项目和时间10分；购书、藏书量5分</w:t>
            </w:r>
          </w:p>
        </w:tc>
      </w:tr>
      <w:tr w14:paraId="5F43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21CFA20A">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74C34115">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076660B8">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1BBF1EF3">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4.2.2  县级图书馆文化馆总分馆制建设任务全部完成并融入日常工作</w:t>
            </w:r>
          </w:p>
        </w:tc>
        <w:tc>
          <w:tcPr>
            <w:tcW w:w="722" w:type="dxa"/>
            <w:noWrap w:val="0"/>
            <w:vAlign w:val="center"/>
          </w:tcPr>
          <w:p w14:paraId="60D756A2">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1EDBAE14">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　</w:t>
            </w:r>
          </w:p>
        </w:tc>
      </w:tr>
      <w:tr w14:paraId="6399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500" w:type="dxa"/>
            <w:vMerge w:val="continue"/>
            <w:noWrap w:val="0"/>
            <w:vAlign w:val="center"/>
          </w:tcPr>
          <w:p w14:paraId="69818BC4">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0FEBB805">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2D2F0F10">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679CEF8C">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4.2.3 文化活动常态化，县域内文化活动不少于100场/年</w:t>
            </w:r>
          </w:p>
        </w:tc>
        <w:tc>
          <w:tcPr>
            <w:tcW w:w="722" w:type="dxa"/>
            <w:noWrap w:val="0"/>
            <w:vAlign w:val="center"/>
          </w:tcPr>
          <w:p w14:paraId="7A1D2CBD">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451FA824">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　</w:t>
            </w:r>
          </w:p>
        </w:tc>
      </w:tr>
      <w:tr w14:paraId="567D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6287A261">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18570D5F">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4B2FF210">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786E13EC">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4.2.4  公共数字文化工程融合创新发展，文图两馆网络全覆盖，数字化建设有序推进</w:t>
            </w:r>
          </w:p>
        </w:tc>
        <w:tc>
          <w:tcPr>
            <w:tcW w:w="722" w:type="dxa"/>
            <w:noWrap w:val="0"/>
            <w:vAlign w:val="center"/>
          </w:tcPr>
          <w:p w14:paraId="73C2920E">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3759BD74">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　</w:t>
            </w:r>
          </w:p>
        </w:tc>
      </w:tr>
      <w:tr w14:paraId="6164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749280C3">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52E0CD41">
            <w:pPr>
              <w:widowControl/>
              <w:spacing w:line="360" w:lineRule="exact"/>
              <w:jc w:val="left"/>
              <w:rPr>
                <w:rFonts w:hint="eastAsia" w:hAnsi="楷体" w:cs="宋体"/>
                <w:bCs w:val="0"/>
                <w:snapToGrid/>
                <w:color w:val="000000"/>
                <w:sz w:val="24"/>
                <w:szCs w:val="24"/>
              </w:rPr>
            </w:pPr>
          </w:p>
        </w:tc>
        <w:tc>
          <w:tcPr>
            <w:tcW w:w="689" w:type="dxa"/>
            <w:vMerge w:val="continue"/>
            <w:noWrap w:val="0"/>
            <w:vAlign w:val="center"/>
          </w:tcPr>
          <w:p w14:paraId="195BD34C">
            <w:pPr>
              <w:widowControl/>
              <w:spacing w:line="360" w:lineRule="exact"/>
              <w:jc w:val="left"/>
              <w:rPr>
                <w:rFonts w:hint="eastAsia" w:hAnsi="仿宋" w:cs="宋体"/>
                <w:bCs w:val="0"/>
                <w:snapToGrid/>
                <w:color w:val="000000"/>
                <w:sz w:val="24"/>
                <w:szCs w:val="24"/>
              </w:rPr>
            </w:pPr>
          </w:p>
        </w:tc>
        <w:tc>
          <w:tcPr>
            <w:tcW w:w="7111" w:type="dxa"/>
            <w:noWrap w:val="0"/>
            <w:vAlign w:val="center"/>
          </w:tcPr>
          <w:p w14:paraId="7A1A3521">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4.2.5  围绕“安顺诚特需愉”六字要诀，着力在旅游交通、智慧旅游、标识标牌、旅游厕所等方面开展便民惠民服务</w:t>
            </w:r>
          </w:p>
        </w:tc>
        <w:tc>
          <w:tcPr>
            <w:tcW w:w="722" w:type="dxa"/>
            <w:noWrap w:val="0"/>
            <w:vAlign w:val="center"/>
          </w:tcPr>
          <w:p w14:paraId="5F2A8752">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20</w:t>
            </w:r>
          </w:p>
        </w:tc>
        <w:tc>
          <w:tcPr>
            <w:tcW w:w="3432" w:type="dxa"/>
            <w:noWrap w:val="0"/>
            <w:vAlign w:val="center"/>
          </w:tcPr>
          <w:p w14:paraId="369EC408">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5BA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500" w:type="dxa"/>
            <w:vMerge w:val="restart"/>
            <w:noWrap w:val="0"/>
            <w:vAlign w:val="center"/>
          </w:tcPr>
          <w:p w14:paraId="4BFDD439">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基础性指标</w:t>
            </w:r>
          </w:p>
        </w:tc>
        <w:tc>
          <w:tcPr>
            <w:tcW w:w="1500" w:type="dxa"/>
            <w:vMerge w:val="restart"/>
            <w:noWrap w:val="0"/>
            <w:vAlign w:val="center"/>
          </w:tcPr>
          <w:p w14:paraId="32C8734A">
            <w:pPr>
              <w:widowControl/>
              <w:spacing w:line="360" w:lineRule="exact"/>
              <w:jc w:val="left"/>
              <w:rPr>
                <w:rFonts w:hint="eastAsia" w:hAnsi="楷体" w:cs="宋体"/>
                <w:bCs w:val="0"/>
                <w:snapToGrid/>
                <w:color w:val="000000"/>
                <w:sz w:val="24"/>
                <w:szCs w:val="24"/>
              </w:rPr>
            </w:pPr>
            <w:r>
              <w:rPr>
                <w:rFonts w:hint="eastAsia" w:hAnsi="楷体" w:cs="宋体"/>
                <w:bCs w:val="0"/>
                <w:snapToGrid/>
                <w:color w:val="000000"/>
                <w:sz w:val="24"/>
                <w:szCs w:val="24"/>
              </w:rPr>
              <w:t>5.服务效能</w:t>
            </w:r>
          </w:p>
        </w:tc>
        <w:tc>
          <w:tcPr>
            <w:tcW w:w="7800" w:type="dxa"/>
            <w:gridSpan w:val="2"/>
            <w:noWrap w:val="0"/>
            <w:vAlign w:val="center"/>
          </w:tcPr>
          <w:p w14:paraId="64A5BE88">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5.1 县级图书馆、文化馆配备不少于1台的流动服务车，或以社会化方式配备流动服务设施设备;县级图书馆每年下基层的流动服务次数不低于50次；县级文化馆每年组织流动演出12场以上，流动展览10场以上</w:t>
            </w:r>
          </w:p>
        </w:tc>
        <w:tc>
          <w:tcPr>
            <w:tcW w:w="722" w:type="dxa"/>
            <w:noWrap w:val="0"/>
            <w:vAlign w:val="center"/>
          </w:tcPr>
          <w:p w14:paraId="0624BDD1">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18</w:t>
            </w:r>
          </w:p>
        </w:tc>
        <w:tc>
          <w:tcPr>
            <w:tcW w:w="3432" w:type="dxa"/>
            <w:noWrap w:val="0"/>
            <w:vAlign w:val="center"/>
          </w:tcPr>
          <w:p w14:paraId="6FFA18AE">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流动设备各3分；流动服务各6分</w:t>
            </w:r>
          </w:p>
        </w:tc>
      </w:tr>
      <w:tr w14:paraId="29E6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500" w:type="dxa"/>
            <w:vMerge w:val="continue"/>
            <w:noWrap w:val="0"/>
            <w:vAlign w:val="center"/>
          </w:tcPr>
          <w:p w14:paraId="4245C674">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306A4B7E">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3CFB8507">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5.2 县级图书馆文化馆总分馆延伸至乡、村两级且有效运行</w:t>
            </w:r>
          </w:p>
        </w:tc>
        <w:tc>
          <w:tcPr>
            <w:tcW w:w="722" w:type="dxa"/>
            <w:noWrap w:val="0"/>
            <w:vAlign w:val="center"/>
          </w:tcPr>
          <w:p w14:paraId="4E2FCF6E">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44604070">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5B49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42B0BCCE">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26C81812">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2D540D7C">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5.3 县级文图两馆数字化服务形成特色，具备数字资源提供能力和远程服务能力</w:t>
            </w:r>
          </w:p>
        </w:tc>
        <w:tc>
          <w:tcPr>
            <w:tcW w:w="722" w:type="dxa"/>
            <w:noWrap w:val="0"/>
            <w:vAlign w:val="center"/>
          </w:tcPr>
          <w:p w14:paraId="44A8BA84">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6437FF7A">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5B5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12CD93DC">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34292934">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02202377">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5.4 县级文艺院团（含民营院团）近3年内有新创剧目，剧目或个人参加展演并获奖</w:t>
            </w:r>
          </w:p>
        </w:tc>
        <w:tc>
          <w:tcPr>
            <w:tcW w:w="722" w:type="dxa"/>
            <w:noWrap w:val="0"/>
            <w:vAlign w:val="center"/>
          </w:tcPr>
          <w:p w14:paraId="68CDE683">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2C4E9187">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获国家级奖项8分、参加国家级展演7分；获省级奖项6分、参加省级展演5分；获市级奖项4分、参加市级展演3分；获县级奖项2分、参加县级展演1分</w:t>
            </w:r>
          </w:p>
        </w:tc>
      </w:tr>
      <w:tr w14:paraId="4CCF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3550E53D">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04A2A182">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26AACF5B">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5.5 拥有“一县一品”特色公共文化服务品牌；结合乡村振兴战略，加强乡村文化建设，基层群众文化活动形成特色和品牌</w:t>
            </w:r>
          </w:p>
        </w:tc>
        <w:tc>
          <w:tcPr>
            <w:tcW w:w="722" w:type="dxa"/>
            <w:noWrap w:val="0"/>
            <w:vAlign w:val="center"/>
          </w:tcPr>
          <w:p w14:paraId="7E9BFFC6">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5681178A">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县级品牌4分；基层品牌4分</w:t>
            </w:r>
          </w:p>
        </w:tc>
      </w:tr>
      <w:tr w14:paraId="6A5A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5473FD47">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28605E66">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09267740">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5.6 严格执行《“免费送戏下乡一万场”实施方案》任务标准，完成送戏下乡任务，确保演出安全和演出质量</w:t>
            </w:r>
          </w:p>
        </w:tc>
        <w:tc>
          <w:tcPr>
            <w:tcW w:w="722" w:type="dxa"/>
            <w:noWrap w:val="0"/>
            <w:vAlign w:val="center"/>
          </w:tcPr>
          <w:p w14:paraId="041CC745">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31AE30F8">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“演出质量”依据为获得过国家级奖项或参加过国家级展演8分，获得过省级奖项或参加过省级展演6分，获得过市级奖项或参加过市级展演4分，获得过县级奖项或参加过县级展演2分</w:t>
            </w:r>
          </w:p>
        </w:tc>
      </w:tr>
      <w:tr w14:paraId="730C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restart"/>
            <w:noWrap w:val="0"/>
            <w:vAlign w:val="center"/>
          </w:tcPr>
          <w:p w14:paraId="467288FC">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基础性指标</w:t>
            </w:r>
          </w:p>
        </w:tc>
        <w:tc>
          <w:tcPr>
            <w:tcW w:w="1500" w:type="dxa"/>
            <w:vMerge w:val="restart"/>
            <w:noWrap w:val="0"/>
            <w:vAlign w:val="center"/>
          </w:tcPr>
          <w:p w14:paraId="067CA788">
            <w:pPr>
              <w:widowControl/>
              <w:spacing w:line="360" w:lineRule="exact"/>
              <w:jc w:val="left"/>
              <w:rPr>
                <w:rFonts w:hint="eastAsia" w:hAnsi="楷体" w:cs="宋体"/>
                <w:bCs w:val="0"/>
                <w:snapToGrid/>
                <w:color w:val="000000"/>
                <w:sz w:val="24"/>
                <w:szCs w:val="24"/>
              </w:rPr>
            </w:pPr>
            <w:r>
              <w:rPr>
                <w:rFonts w:hint="eastAsia" w:hAnsi="楷体" w:cs="宋体"/>
                <w:bCs w:val="0"/>
                <w:snapToGrid/>
                <w:color w:val="000000"/>
                <w:sz w:val="24"/>
                <w:szCs w:val="24"/>
              </w:rPr>
              <w:t>5.服务效能</w:t>
            </w:r>
          </w:p>
        </w:tc>
        <w:tc>
          <w:tcPr>
            <w:tcW w:w="7800" w:type="dxa"/>
            <w:gridSpan w:val="2"/>
            <w:noWrap w:val="0"/>
            <w:vAlign w:val="center"/>
          </w:tcPr>
          <w:p w14:paraId="5894E7A7">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5.7 有计划（5年/次）公布本级非物质文化遗产代表性项目和代表性传承人，每年对传承活动开展评估</w:t>
            </w:r>
          </w:p>
        </w:tc>
        <w:tc>
          <w:tcPr>
            <w:tcW w:w="722" w:type="dxa"/>
            <w:noWrap w:val="0"/>
            <w:vAlign w:val="center"/>
          </w:tcPr>
          <w:p w14:paraId="10C01DB1">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5</w:t>
            </w:r>
          </w:p>
        </w:tc>
        <w:tc>
          <w:tcPr>
            <w:tcW w:w="3432" w:type="dxa"/>
            <w:noWrap w:val="0"/>
            <w:vAlign w:val="center"/>
          </w:tcPr>
          <w:p w14:paraId="50452780">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5D41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5E21A442">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370008C3">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4EF15445">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5.8 景区内外部交通方式便捷、多样,形成“快进慢游深体验”的综合交通体系</w:t>
            </w:r>
          </w:p>
        </w:tc>
        <w:tc>
          <w:tcPr>
            <w:tcW w:w="722" w:type="dxa"/>
            <w:noWrap w:val="0"/>
            <w:vAlign w:val="center"/>
          </w:tcPr>
          <w:p w14:paraId="64508E47">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6B761AD7">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A40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2FD55C79">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5D56C8CD">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68B95DD2">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5.9 游客集散中心、游客服务中心（点）有效发挥集散、咨询、综合服务等功能</w:t>
            </w:r>
          </w:p>
        </w:tc>
        <w:tc>
          <w:tcPr>
            <w:tcW w:w="722" w:type="dxa"/>
            <w:noWrap w:val="0"/>
            <w:vAlign w:val="center"/>
          </w:tcPr>
          <w:p w14:paraId="3B089946">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698D4051">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604D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500" w:type="dxa"/>
            <w:vMerge w:val="continue"/>
            <w:noWrap w:val="0"/>
            <w:vAlign w:val="center"/>
          </w:tcPr>
          <w:p w14:paraId="4DBC223B">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696BB880">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11C7AAA1">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5.10 A级以上景区停车场管理规范、服务有效；标识标牌具有全景导览、交通标识、介绍及公共信息提示功能</w:t>
            </w:r>
          </w:p>
        </w:tc>
        <w:tc>
          <w:tcPr>
            <w:tcW w:w="722" w:type="dxa"/>
            <w:noWrap w:val="0"/>
            <w:vAlign w:val="center"/>
          </w:tcPr>
          <w:p w14:paraId="4F6C5876">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464499D2">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停车场4分；</w:t>
            </w:r>
            <w:r>
              <w:rPr>
                <w:rFonts w:hint="eastAsia" w:hAnsi="仿宋" w:cs="宋体"/>
                <w:bCs w:val="0"/>
                <w:snapToGrid/>
                <w:color w:val="000000"/>
                <w:sz w:val="24"/>
                <w:szCs w:val="24"/>
              </w:rPr>
              <w:br w:type="textWrapping"/>
            </w:r>
            <w:r>
              <w:rPr>
                <w:rFonts w:hint="eastAsia" w:hAnsi="仿宋" w:cs="宋体"/>
                <w:bCs w:val="0"/>
                <w:snapToGrid/>
                <w:color w:val="000000"/>
                <w:sz w:val="24"/>
                <w:szCs w:val="24"/>
              </w:rPr>
              <w:t>标识标牌4分</w:t>
            </w:r>
          </w:p>
        </w:tc>
      </w:tr>
      <w:tr w14:paraId="292A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00" w:type="dxa"/>
            <w:vMerge w:val="continue"/>
            <w:noWrap w:val="0"/>
            <w:vAlign w:val="center"/>
          </w:tcPr>
          <w:p w14:paraId="6044719E">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4DF3696B">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737DDDA4">
            <w:pPr>
              <w:widowControl/>
              <w:spacing w:line="360" w:lineRule="exact"/>
              <w:jc w:val="left"/>
              <w:rPr>
                <w:rFonts w:hint="eastAsia" w:hAnsi="仿宋" w:cs="宋体"/>
                <w:bCs w:val="0"/>
                <w:snapToGrid/>
                <w:sz w:val="24"/>
                <w:szCs w:val="24"/>
              </w:rPr>
            </w:pPr>
            <w:r>
              <w:rPr>
                <w:rFonts w:hint="eastAsia" w:hAnsi="仿宋" w:cs="宋体"/>
                <w:bCs w:val="0"/>
                <w:snapToGrid/>
                <w:sz w:val="24"/>
                <w:szCs w:val="24"/>
              </w:rPr>
              <w:t>5.11 A级以上景区旅游厕所免费开放、管理规范、清洁卫生，男女厕位比例适当且有如厕文明宣传</w:t>
            </w:r>
          </w:p>
        </w:tc>
        <w:tc>
          <w:tcPr>
            <w:tcW w:w="722" w:type="dxa"/>
            <w:noWrap w:val="0"/>
            <w:vAlign w:val="center"/>
          </w:tcPr>
          <w:p w14:paraId="1448A07F">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6231623A">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6BB0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00" w:type="dxa"/>
            <w:vMerge w:val="continue"/>
            <w:noWrap w:val="0"/>
            <w:vAlign w:val="center"/>
          </w:tcPr>
          <w:p w14:paraId="10EA887D">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076D65EC">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73A2FEA8">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5.12 A级以上景区采用智慧化手段提供服务（免费wifi、电子导览、电子讲解、视频监控全覆盖等）</w:t>
            </w:r>
          </w:p>
        </w:tc>
        <w:tc>
          <w:tcPr>
            <w:tcW w:w="722" w:type="dxa"/>
            <w:noWrap w:val="0"/>
            <w:vAlign w:val="center"/>
          </w:tcPr>
          <w:p w14:paraId="3D81E9F5">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287AC718">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1B57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5CE59A9B">
            <w:pPr>
              <w:widowControl/>
              <w:spacing w:line="360" w:lineRule="exact"/>
              <w:jc w:val="left"/>
              <w:rPr>
                <w:rFonts w:hint="eastAsia" w:hAnsi="楷体" w:cs="宋体"/>
                <w:bCs w:val="0"/>
                <w:snapToGrid/>
                <w:color w:val="000000"/>
                <w:sz w:val="24"/>
                <w:szCs w:val="24"/>
              </w:rPr>
            </w:pPr>
          </w:p>
        </w:tc>
        <w:tc>
          <w:tcPr>
            <w:tcW w:w="1500" w:type="dxa"/>
            <w:vMerge w:val="restart"/>
            <w:noWrap w:val="0"/>
            <w:vAlign w:val="center"/>
          </w:tcPr>
          <w:p w14:paraId="5B45AC51">
            <w:pPr>
              <w:widowControl/>
              <w:spacing w:line="360" w:lineRule="exact"/>
              <w:jc w:val="left"/>
              <w:rPr>
                <w:rFonts w:hint="eastAsia" w:hAnsi="楷体" w:cs="宋体"/>
                <w:bCs w:val="0"/>
                <w:snapToGrid/>
                <w:color w:val="000000"/>
                <w:sz w:val="24"/>
                <w:szCs w:val="24"/>
              </w:rPr>
            </w:pPr>
            <w:r>
              <w:rPr>
                <w:rFonts w:hint="eastAsia" w:hAnsi="楷体" w:cs="宋体"/>
                <w:bCs w:val="0"/>
                <w:snapToGrid/>
                <w:color w:val="000000"/>
                <w:sz w:val="24"/>
                <w:szCs w:val="24"/>
              </w:rPr>
              <w:t>6.业态培育</w:t>
            </w:r>
          </w:p>
        </w:tc>
        <w:tc>
          <w:tcPr>
            <w:tcW w:w="7800" w:type="dxa"/>
            <w:gridSpan w:val="2"/>
            <w:noWrap w:val="0"/>
            <w:vAlign w:val="center"/>
          </w:tcPr>
          <w:p w14:paraId="2912FA2E">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6.1 有文旅产业发展规划，文旅产业有较快增长，对促进当地经济发展发挥重要作用</w:t>
            </w:r>
          </w:p>
        </w:tc>
        <w:tc>
          <w:tcPr>
            <w:tcW w:w="722" w:type="dxa"/>
            <w:noWrap w:val="0"/>
            <w:vAlign w:val="center"/>
          </w:tcPr>
          <w:p w14:paraId="39F98A15">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29B050B5">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有具体的产业发展规划得5分；产业发展较往年增长得5分；文旅产业项目进入全省重点文化旅游项目库，5分/省级标杆项目、1分/一般项目</w:t>
            </w:r>
          </w:p>
        </w:tc>
      </w:tr>
      <w:tr w14:paraId="07F8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798B2859">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1181567E">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1EE02077">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6.2 文旅产业增加值增速不低于同期全县生产总值增速</w:t>
            </w:r>
          </w:p>
        </w:tc>
        <w:tc>
          <w:tcPr>
            <w:tcW w:w="722" w:type="dxa"/>
            <w:noWrap w:val="0"/>
            <w:vAlign w:val="center"/>
          </w:tcPr>
          <w:p w14:paraId="41B9D1AB">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56D50D74">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　</w:t>
            </w:r>
          </w:p>
        </w:tc>
      </w:tr>
      <w:tr w14:paraId="351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7EDEC575">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6FEEB6B6">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72AC10BE">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6.3 拥有当地特色的文化演艺、节庆活动，让文化有活力，旅游显魅力</w:t>
            </w:r>
          </w:p>
        </w:tc>
        <w:tc>
          <w:tcPr>
            <w:tcW w:w="722" w:type="dxa"/>
            <w:noWrap w:val="0"/>
            <w:vAlign w:val="center"/>
          </w:tcPr>
          <w:p w14:paraId="4C2C71E2">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1A0BC634">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2D21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2910858F">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737E39B2">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4664F2CD">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6.4 拥有不少于2家的文创企业，让文创赋能文旅融合</w:t>
            </w:r>
          </w:p>
        </w:tc>
        <w:tc>
          <w:tcPr>
            <w:tcW w:w="722" w:type="dxa"/>
            <w:noWrap w:val="0"/>
            <w:vAlign w:val="center"/>
          </w:tcPr>
          <w:p w14:paraId="5C1C07B2">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1AB7A173">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7162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00" w:type="dxa"/>
            <w:vMerge w:val="restart"/>
            <w:noWrap w:val="0"/>
            <w:vAlign w:val="center"/>
          </w:tcPr>
          <w:p w14:paraId="678FE456">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基础性指标</w:t>
            </w:r>
          </w:p>
        </w:tc>
        <w:tc>
          <w:tcPr>
            <w:tcW w:w="1500" w:type="dxa"/>
            <w:vMerge w:val="restart"/>
            <w:noWrap w:val="0"/>
            <w:vAlign w:val="center"/>
          </w:tcPr>
          <w:p w14:paraId="180CA42A">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7.服务环境治理</w:t>
            </w:r>
          </w:p>
        </w:tc>
        <w:tc>
          <w:tcPr>
            <w:tcW w:w="7800" w:type="dxa"/>
            <w:gridSpan w:val="2"/>
            <w:noWrap w:val="0"/>
            <w:vAlign w:val="center"/>
          </w:tcPr>
          <w:p w14:paraId="41C896AF">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7.1 文旅市场服务质量提升方案完善并层层落实；严格落实文化市场综合行政执法规章制度，执法行为规范，整顿和规范文化市场秩序成效明显</w:t>
            </w:r>
          </w:p>
        </w:tc>
        <w:tc>
          <w:tcPr>
            <w:tcW w:w="722" w:type="dxa"/>
            <w:noWrap w:val="0"/>
            <w:vAlign w:val="center"/>
          </w:tcPr>
          <w:p w14:paraId="37E93ADF">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68717D20">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有方案且落实8分；执法规范、成效显著7分</w:t>
            </w:r>
          </w:p>
        </w:tc>
      </w:tr>
      <w:tr w14:paraId="43E5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500" w:type="dxa"/>
            <w:vMerge w:val="continue"/>
            <w:noWrap w:val="0"/>
            <w:vAlign w:val="center"/>
          </w:tcPr>
          <w:p w14:paraId="20A84944">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7A42BF15">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419F1A37">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7.2 依法开展文旅市场行政审批和行政执法，无证经营、未成年人进网吧、侵犯游客权益等现象三年内逐步减少；上级督办案件全部结案；建立了文化、娱乐、演艺、旅游等行业协会和社会义务监督员队伍</w:t>
            </w:r>
          </w:p>
        </w:tc>
        <w:tc>
          <w:tcPr>
            <w:tcW w:w="722" w:type="dxa"/>
            <w:noWrap w:val="0"/>
            <w:vAlign w:val="center"/>
          </w:tcPr>
          <w:p w14:paraId="5913CA23">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403A698B">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41F6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500" w:type="dxa"/>
            <w:vMerge w:val="continue"/>
            <w:noWrap w:val="0"/>
            <w:vAlign w:val="center"/>
          </w:tcPr>
          <w:p w14:paraId="6D5C2AEC">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15DCCDA3">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21FDCA4A">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7.3 辖区内公共文化场所、景区景点安全措施及责任制落实到位，做到管理科学、规范，辖区内文旅单位、文旅经营场所3年内未发生安全责任事故</w:t>
            </w:r>
          </w:p>
        </w:tc>
        <w:tc>
          <w:tcPr>
            <w:tcW w:w="722" w:type="dxa"/>
            <w:noWrap w:val="0"/>
            <w:vAlign w:val="center"/>
          </w:tcPr>
          <w:p w14:paraId="27814143">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8</w:t>
            </w:r>
          </w:p>
        </w:tc>
        <w:tc>
          <w:tcPr>
            <w:tcW w:w="3432" w:type="dxa"/>
            <w:noWrap w:val="0"/>
            <w:vAlign w:val="center"/>
          </w:tcPr>
          <w:p w14:paraId="29AB0F91">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4DC2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500" w:type="dxa"/>
            <w:vMerge w:val="continue"/>
            <w:noWrap w:val="0"/>
            <w:vAlign w:val="center"/>
          </w:tcPr>
          <w:p w14:paraId="3D75A613">
            <w:pPr>
              <w:widowControl/>
              <w:spacing w:line="360" w:lineRule="exact"/>
              <w:jc w:val="left"/>
              <w:rPr>
                <w:rFonts w:hint="eastAsia" w:hAnsi="楷体" w:cs="宋体"/>
                <w:bCs w:val="0"/>
                <w:snapToGrid/>
                <w:color w:val="000000"/>
                <w:sz w:val="24"/>
                <w:szCs w:val="24"/>
              </w:rPr>
            </w:pPr>
          </w:p>
        </w:tc>
        <w:tc>
          <w:tcPr>
            <w:tcW w:w="1500" w:type="dxa"/>
            <w:vMerge w:val="restart"/>
            <w:noWrap w:val="0"/>
            <w:vAlign w:val="center"/>
          </w:tcPr>
          <w:p w14:paraId="6CE7CCE2">
            <w:pPr>
              <w:widowControl/>
              <w:spacing w:line="36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8.队伍建设</w:t>
            </w:r>
          </w:p>
        </w:tc>
        <w:tc>
          <w:tcPr>
            <w:tcW w:w="7800" w:type="dxa"/>
            <w:gridSpan w:val="2"/>
            <w:noWrap w:val="0"/>
            <w:vAlign w:val="center"/>
          </w:tcPr>
          <w:p w14:paraId="6B2D7D6A">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8.1 人才队伍有完备的培育机制和人才引进政策，专业人才的数量和质量稳步提高，专业结构、岗位结构、年龄结构进一步优化（县级公益性文旅事业单位业务人员占职工总数比例不低于80%）</w:t>
            </w:r>
          </w:p>
        </w:tc>
        <w:tc>
          <w:tcPr>
            <w:tcW w:w="722" w:type="dxa"/>
            <w:noWrap w:val="0"/>
            <w:vAlign w:val="center"/>
          </w:tcPr>
          <w:p w14:paraId="030911B9">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10</w:t>
            </w:r>
          </w:p>
        </w:tc>
        <w:tc>
          <w:tcPr>
            <w:tcW w:w="3432" w:type="dxa"/>
            <w:noWrap w:val="0"/>
            <w:vAlign w:val="center"/>
          </w:tcPr>
          <w:p w14:paraId="7E138B01">
            <w:pPr>
              <w:widowControl/>
              <w:spacing w:line="360" w:lineRule="exact"/>
              <w:rPr>
                <w:rFonts w:hint="eastAsia" w:hAnsi="宋体" w:cs="宋体"/>
                <w:bCs w:val="0"/>
                <w:snapToGrid/>
                <w:color w:val="000000"/>
                <w:sz w:val="24"/>
                <w:szCs w:val="24"/>
              </w:rPr>
            </w:pPr>
            <w:r>
              <w:rPr>
                <w:rFonts w:hint="eastAsia" w:hAnsi="宋体" w:cs="宋体"/>
                <w:bCs w:val="0"/>
                <w:snapToGrid/>
                <w:color w:val="000000"/>
                <w:sz w:val="24"/>
                <w:szCs w:val="24"/>
              </w:rPr>
              <w:t>　</w:t>
            </w:r>
          </w:p>
        </w:tc>
      </w:tr>
      <w:tr w14:paraId="7003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500" w:type="dxa"/>
            <w:vMerge w:val="continue"/>
            <w:noWrap w:val="0"/>
            <w:vAlign w:val="center"/>
          </w:tcPr>
          <w:p w14:paraId="634253EE">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50ABD181">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46607562">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8.2 县级公益性文旅单位在职员工参加脱产培训时间每年不少于15天；乡镇（街道）、村（社区）基层文旅专兼职人员参加集中培训时间每年不少于5天；县、乡、村基层文旅专兼职人员参加全国基层文旅队伍远程网络培训时间每年不少于50课时</w:t>
            </w:r>
          </w:p>
        </w:tc>
        <w:tc>
          <w:tcPr>
            <w:tcW w:w="722" w:type="dxa"/>
            <w:noWrap w:val="0"/>
            <w:vAlign w:val="center"/>
          </w:tcPr>
          <w:p w14:paraId="08C04AEB">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15</w:t>
            </w:r>
          </w:p>
        </w:tc>
        <w:tc>
          <w:tcPr>
            <w:tcW w:w="3432" w:type="dxa"/>
            <w:noWrap w:val="0"/>
            <w:vAlign w:val="center"/>
          </w:tcPr>
          <w:p w14:paraId="6AED8A1D">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脱产培训5分；集中培训5分；远程培训5分</w:t>
            </w:r>
          </w:p>
        </w:tc>
      </w:tr>
      <w:tr w14:paraId="68E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500" w:type="dxa"/>
            <w:vMerge w:val="continue"/>
            <w:noWrap w:val="0"/>
            <w:vAlign w:val="center"/>
          </w:tcPr>
          <w:p w14:paraId="71C4648C">
            <w:pPr>
              <w:widowControl/>
              <w:spacing w:line="360" w:lineRule="exact"/>
              <w:jc w:val="left"/>
              <w:rPr>
                <w:rFonts w:hint="eastAsia" w:hAnsi="楷体" w:cs="宋体"/>
                <w:bCs w:val="0"/>
                <w:snapToGrid/>
                <w:color w:val="000000"/>
                <w:sz w:val="24"/>
                <w:szCs w:val="24"/>
              </w:rPr>
            </w:pPr>
          </w:p>
        </w:tc>
        <w:tc>
          <w:tcPr>
            <w:tcW w:w="1500" w:type="dxa"/>
            <w:vMerge w:val="continue"/>
            <w:noWrap w:val="0"/>
            <w:vAlign w:val="center"/>
          </w:tcPr>
          <w:p w14:paraId="2F94FDC2">
            <w:pPr>
              <w:widowControl/>
              <w:spacing w:line="360" w:lineRule="exact"/>
              <w:jc w:val="left"/>
              <w:rPr>
                <w:rFonts w:hint="eastAsia" w:hAnsi="楷体" w:cs="宋体"/>
                <w:bCs w:val="0"/>
                <w:snapToGrid/>
                <w:color w:val="000000"/>
                <w:sz w:val="24"/>
                <w:szCs w:val="24"/>
              </w:rPr>
            </w:pPr>
          </w:p>
        </w:tc>
        <w:tc>
          <w:tcPr>
            <w:tcW w:w="7800" w:type="dxa"/>
            <w:gridSpan w:val="2"/>
            <w:noWrap w:val="0"/>
            <w:vAlign w:val="center"/>
          </w:tcPr>
          <w:p w14:paraId="1C5828E2">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8.3  组织、支持开展文旅志愿服务活动；志愿队伍的管理机制、教育培训和激励保障机制完善；县域内拥有不少于40支群众文艺队伍、40名乡村文化带头人、20名乡土文化能人艺人</w:t>
            </w:r>
          </w:p>
        </w:tc>
        <w:tc>
          <w:tcPr>
            <w:tcW w:w="722" w:type="dxa"/>
            <w:noWrap w:val="0"/>
            <w:vAlign w:val="center"/>
          </w:tcPr>
          <w:p w14:paraId="12DB2861">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20</w:t>
            </w:r>
          </w:p>
        </w:tc>
        <w:tc>
          <w:tcPr>
            <w:tcW w:w="3432" w:type="dxa"/>
            <w:noWrap w:val="0"/>
            <w:vAlign w:val="center"/>
          </w:tcPr>
          <w:p w14:paraId="442364F9">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活动开展4分；机制完善4分；文艺队伍4分、带头人4分、能人艺人4分</w:t>
            </w:r>
          </w:p>
        </w:tc>
      </w:tr>
    </w:tbl>
    <w:p w14:paraId="00F57780"/>
    <w:p w14:paraId="6C868F64"/>
    <w:p w14:paraId="35AE2F62"/>
    <w:tbl>
      <w:tblPr>
        <w:tblStyle w:val="4"/>
        <w:tblW w:w="14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500"/>
        <w:gridCol w:w="7800"/>
        <w:gridCol w:w="722"/>
        <w:gridCol w:w="3432"/>
      </w:tblGrid>
      <w:tr w14:paraId="4BEA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00" w:type="dxa"/>
            <w:noWrap w:val="0"/>
            <w:vAlign w:val="center"/>
          </w:tcPr>
          <w:p w14:paraId="57A7E9FC">
            <w:pPr>
              <w:widowControl/>
              <w:spacing w:line="320" w:lineRule="exact"/>
              <w:jc w:val="center"/>
              <w:rPr>
                <w:rFonts w:hint="eastAsia" w:ascii="黑体" w:hAnsi="黑体" w:eastAsia="黑体" w:cs="宋体"/>
                <w:bCs w:val="0"/>
                <w:snapToGrid/>
                <w:color w:val="000000"/>
                <w:sz w:val="24"/>
                <w:szCs w:val="24"/>
              </w:rPr>
            </w:pPr>
            <w:r>
              <w:rPr>
                <w:rFonts w:hint="eastAsia" w:ascii="黑体" w:hAnsi="黑体" w:eastAsia="黑体" w:cs="宋体"/>
                <w:bCs w:val="0"/>
                <w:snapToGrid/>
                <w:color w:val="000000"/>
                <w:sz w:val="24"/>
                <w:szCs w:val="24"/>
              </w:rPr>
              <w:t>指标类型</w:t>
            </w:r>
          </w:p>
        </w:tc>
        <w:tc>
          <w:tcPr>
            <w:tcW w:w="9300" w:type="dxa"/>
            <w:gridSpan w:val="2"/>
            <w:noWrap w:val="0"/>
            <w:vAlign w:val="center"/>
          </w:tcPr>
          <w:p w14:paraId="661A11C5">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具体指标</w:t>
            </w:r>
          </w:p>
        </w:tc>
        <w:tc>
          <w:tcPr>
            <w:tcW w:w="722" w:type="dxa"/>
            <w:noWrap w:val="0"/>
            <w:vAlign w:val="center"/>
          </w:tcPr>
          <w:p w14:paraId="468A3DE2">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分值</w:t>
            </w:r>
          </w:p>
        </w:tc>
        <w:tc>
          <w:tcPr>
            <w:tcW w:w="3432" w:type="dxa"/>
            <w:noWrap w:val="0"/>
            <w:vAlign w:val="center"/>
          </w:tcPr>
          <w:p w14:paraId="0FAFD052">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备注</w:t>
            </w:r>
          </w:p>
        </w:tc>
      </w:tr>
      <w:tr w14:paraId="1F4E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500" w:type="dxa"/>
            <w:vMerge w:val="restart"/>
            <w:noWrap w:val="0"/>
            <w:vAlign w:val="center"/>
          </w:tcPr>
          <w:p w14:paraId="0980EB3F">
            <w:pPr>
              <w:widowControl/>
              <w:spacing w:line="32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创新性指标</w:t>
            </w:r>
          </w:p>
        </w:tc>
        <w:tc>
          <w:tcPr>
            <w:tcW w:w="9300" w:type="dxa"/>
            <w:gridSpan w:val="2"/>
            <w:noWrap w:val="0"/>
            <w:vAlign w:val="center"/>
          </w:tcPr>
          <w:p w14:paraId="783119E8">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1. 领导协调、市场管理、综合配套等体制机制创新，形成较强的示范带动作用</w:t>
            </w:r>
          </w:p>
        </w:tc>
        <w:tc>
          <w:tcPr>
            <w:tcW w:w="722" w:type="dxa"/>
            <w:noWrap w:val="0"/>
            <w:vAlign w:val="center"/>
          </w:tcPr>
          <w:p w14:paraId="2D3F279A">
            <w:pPr>
              <w:widowControl/>
              <w:spacing w:line="36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25</w:t>
            </w:r>
          </w:p>
        </w:tc>
        <w:tc>
          <w:tcPr>
            <w:tcW w:w="3432" w:type="dxa"/>
            <w:vMerge w:val="restart"/>
            <w:noWrap w:val="0"/>
            <w:vAlign w:val="center"/>
          </w:tcPr>
          <w:p w14:paraId="2B1F6587">
            <w:pPr>
              <w:widowControl/>
              <w:spacing w:line="360" w:lineRule="exact"/>
              <w:jc w:val="left"/>
              <w:rPr>
                <w:rFonts w:hint="eastAsia" w:hAnsi="仿宋" w:cs="宋体"/>
                <w:bCs w:val="0"/>
                <w:snapToGrid/>
                <w:sz w:val="24"/>
                <w:szCs w:val="24"/>
              </w:rPr>
            </w:pPr>
            <w:r>
              <w:rPr>
                <w:rFonts w:hint="eastAsia" w:hAnsi="仿宋" w:cs="宋体"/>
                <w:bCs w:val="0"/>
                <w:snapToGrid/>
                <w:sz w:val="24"/>
                <w:szCs w:val="24"/>
              </w:rPr>
              <w:t>全国层面认可和推广得25分；</w:t>
            </w:r>
            <w:r>
              <w:rPr>
                <w:rFonts w:hint="eastAsia" w:hAnsi="仿宋" w:cs="宋体"/>
                <w:bCs w:val="0"/>
                <w:snapToGrid/>
                <w:sz w:val="24"/>
                <w:szCs w:val="24"/>
              </w:rPr>
              <w:br w:type="textWrapping"/>
            </w:r>
            <w:r>
              <w:rPr>
                <w:rFonts w:hint="eastAsia" w:hAnsi="仿宋" w:cs="宋体"/>
                <w:bCs w:val="0"/>
                <w:snapToGrid/>
                <w:sz w:val="24"/>
                <w:szCs w:val="24"/>
              </w:rPr>
              <w:t>省级层面认可和推广得20分；</w:t>
            </w:r>
            <w:r>
              <w:rPr>
                <w:rFonts w:hint="eastAsia" w:hAnsi="仿宋" w:cs="宋体"/>
                <w:bCs w:val="0"/>
                <w:snapToGrid/>
                <w:sz w:val="24"/>
                <w:szCs w:val="24"/>
              </w:rPr>
              <w:br w:type="textWrapping"/>
            </w:r>
            <w:r>
              <w:rPr>
                <w:rFonts w:hint="eastAsia" w:hAnsi="仿宋" w:cs="宋体"/>
                <w:bCs w:val="0"/>
                <w:snapToGrid/>
                <w:sz w:val="24"/>
                <w:szCs w:val="24"/>
              </w:rPr>
              <w:t>市级层面认可和推广得15分；</w:t>
            </w:r>
            <w:r>
              <w:rPr>
                <w:rFonts w:hint="eastAsia" w:hAnsi="仿宋" w:cs="宋体"/>
                <w:bCs w:val="0"/>
                <w:snapToGrid/>
                <w:sz w:val="24"/>
                <w:szCs w:val="24"/>
              </w:rPr>
              <w:br w:type="textWrapping"/>
            </w:r>
            <w:r>
              <w:rPr>
                <w:rFonts w:hint="eastAsia" w:hAnsi="仿宋" w:cs="宋体"/>
                <w:bCs w:val="0"/>
                <w:snapToGrid/>
                <w:sz w:val="24"/>
                <w:szCs w:val="24"/>
              </w:rPr>
              <w:t>县级层面认可和推广得10分</w:t>
            </w:r>
          </w:p>
        </w:tc>
      </w:tr>
      <w:tr w14:paraId="6032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0" w:type="dxa"/>
            <w:vMerge w:val="continue"/>
            <w:noWrap w:val="0"/>
            <w:vAlign w:val="center"/>
          </w:tcPr>
          <w:p w14:paraId="1AD1653C">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31DCEE04">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2. 鼓励文旅事业和产业发展的政策举措创新，形成较强的示范带动作用</w:t>
            </w:r>
          </w:p>
        </w:tc>
        <w:tc>
          <w:tcPr>
            <w:tcW w:w="722" w:type="dxa"/>
            <w:noWrap w:val="0"/>
            <w:vAlign w:val="center"/>
          </w:tcPr>
          <w:p w14:paraId="74EF2DD2">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25</w:t>
            </w:r>
          </w:p>
        </w:tc>
        <w:tc>
          <w:tcPr>
            <w:tcW w:w="3432" w:type="dxa"/>
            <w:vMerge w:val="continue"/>
            <w:noWrap w:val="0"/>
            <w:vAlign w:val="center"/>
          </w:tcPr>
          <w:p w14:paraId="13422794">
            <w:pPr>
              <w:widowControl/>
              <w:spacing w:line="360" w:lineRule="exact"/>
              <w:jc w:val="left"/>
              <w:rPr>
                <w:rFonts w:hint="eastAsia" w:hAnsi="仿宋" w:cs="宋体"/>
                <w:bCs w:val="0"/>
                <w:snapToGrid/>
                <w:sz w:val="24"/>
                <w:szCs w:val="24"/>
              </w:rPr>
            </w:pPr>
          </w:p>
        </w:tc>
      </w:tr>
      <w:tr w14:paraId="3E10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500" w:type="dxa"/>
            <w:vMerge w:val="continue"/>
            <w:noWrap w:val="0"/>
            <w:vAlign w:val="center"/>
          </w:tcPr>
          <w:p w14:paraId="6F4FEA78">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4C9DCE53">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3. 文旅公共服务方式方法创新，特别是在县级文化馆图书馆总分馆制建设、乡镇综合文化站专项治理、厕所革命等文旅公共服务建设重难点问题上，形成具有较强示范带动作用的文旅公共服务模式</w:t>
            </w:r>
          </w:p>
        </w:tc>
        <w:tc>
          <w:tcPr>
            <w:tcW w:w="722" w:type="dxa"/>
            <w:noWrap w:val="0"/>
            <w:vAlign w:val="center"/>
          </w:tcPr>
          <w:p w14:paraId="5F528403">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25</w:t>
            </w:r>
          </w:p>
        </w:tc>
        <w:tc>
          <w:tcPr>
            <w:tcW w:w="3432" w:type="dxa"/>
            <w:vMerge w:val="continue"/>
            <w:noWrap w:val="0"/>
            <w:vAlign w:val="center"/>
          </w:tcPr>
          <w:p w14:paraId="28AB644A">
            <w:pPr>
              <w:widowControl/>
              <w:spacing w:line="360" w:lineRule="exact"/>
              <w:jc w:val="left"/>
              <w:rPr>
                <w:rFonts w:hint="eastAsia" w:hAnsi="仿宋" w:cs="宋体"/>
                <w:bCs w:val="0"/>
                <w:snapToGrid/>
                <w:sz w:val="24"/>
                <w:szCs w:val="24"/>
              </w:rPr>
            </w:pPr>
          </w:p>
        </w:tc>
      </w:tr>
      <w:tr w14:paraId="2F3A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08594940">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6D72C8AB">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4.“文旅+”业态融合创新，形成较强的示范带动作用</w:t>
            </w:r>
          </w:p>
        </w:tc>
        <w:tc>
          <w:tcPr>
            <w:tcW w:w="722" w:type="dxa"/>
            <w:noWrap w:val="0"/>
            <w:vAlign w:val="center"/>
          </w:tcPr>
          <w:p w14:paraId="79254F2A">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25</w:t>
            </w:r>
          </w:p>
        </w:tc>
        <w:tc>
          <w:tcPr>
            <w:tcW w:w="3432" w:type="dxa"/>
            <w:vMerge w:val="continue"/>
            <w:noWrap w:val="0"/>
            <w:vAlign w:val="center"/>
          </w:tcPr>
          <w:p w14:paraId="5239938F">
            <w:pPr>
              <w:widowControl/>
              <w:spacing w:line="360" w:lineRule="exact"/>
              <w:jc w:val="left"/>
              <w:rPr>
                <w:rFonts w:hint="eastAsia" w:hAnsi="仿宋" w:cs="宋体"/>
                <w:bCs w:val="0"/>
                <w:snapToGrid/>
                <w:sz w:val="24"/>
                <w:szCs w:val="24"/>
              </w:rPr>
            </w:pPr>
          </w:p>
        </w:tc>
      </w:tr>
      <w:tr w14:paraId="6C12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64871DC9">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1CD84734">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5. 文旅单位（公益性和经营性）利用科技化、智慧化方式为群众（游客）提供“菜单式”“订单式”服务</w:t>
            </w:r>
          </w:p>
        </w:tc>
        <w:tc>
          <w:tcPr>
            <w:tcW w:w="722" w:type="dxa"/>
            <w:noWrap w:val="0"/>
            <w:vAlign w:val="center"/>
          </w:tcPr>
          <w:p w14:paraId="7EEBD325">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0D4B0247">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　</w:t>
            </w:r>
          </w:p>
        </w:tc>
      </w:tr>
      <w:tr w14:paraId="666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1CB7F799">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0F7D6BCD">
            <w:pPr>
              <w:widowControl/>
              <w:spacing w:line="360" w:lineRule="exact"/>
              <w:jc w:val="left"/>
              <w:rPr>
                <w:rFonts w:hint="eastAsia" w:hAnsi="仿宋" w:cs="宋体"/>
                <w:bCs w:val="0"/>
                <w:snapToGrid/>
                <w:color w:val="000000"/>
                <w:sz w:val="24"/>
                <w:szCs w:val="24"/>
              </w:rPr>
            </w:pPr>
            <w:r>
              <w:rPr>
                <w:rFonts w:hint="eastAsia" w:hAnsi="仿宋" w:cs="宋体"/>
                <w:bCs w:val="0"/>
                <w:snapToGrid/>
                <w:color w:val="000000"/>
                <w:sz w:val="24"/>
                <w:szCs w:val="24"/>
              </w:rPr>
              <w:t>6. 全域旅游示范区创建单位、文旅公共服务机构功能融合试点等国家级或省级文旅建设工作试点</w:t>
            </w:r>
          </w:p>
        </w:tc>
        <w:tc>
          <w:tcPr>
            <w:tcW w:w="722" w:type="dxa"/>
            <w:noWrap w:val="0"/>
            <w:vAlign w:val="center"/>
          </w:tcPr>
          <w:p w14:paraId="255E2671">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30</w:t>
            </w:r>
          </w:p>
        </w:tc>
        <w:tc>
          <w:tcPr>
            <w:tcW w:w="3432" w:type="dxa"/>
            <w:noWrap w:val="0"/>
            <w:vAlign w:val="center"/>
          </w:tcPr>
          <w:p w14:paraId="6637FECF">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国家级试点得30分；省级试点得20分；市级试点得10分。最高30分</w:t>
            </w:r>
          </w:p>
        </w:tc>
      </w:tr>
      <w:tr w14:paraId="673C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0BB76094">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7D06960D">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7. 文旅建设获得过国家或省有关部门的荣誉称号(包括先进集体和先进个人)，或文旅建设有被省级以上命名的项目、个人</w:t>
            </w:r>
          </w:p>
        </w:tc>
        <w:tc>
          <w:tcPr>
            <w:tcW w:w="722" w:type="dxa"/>
            <w:noWrap w:val="0"/>
            <w:vAlign w:val="center"/>
          </w:tcPr>
          <w:p w14:paraId="4C5CD9F4">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30</w:t>
            </w:r>
          </w:p>
        </w:tc>
        <w:tc>
          <w:tcPr>
            <w:tcW w:w="3432" w:type="dxa"/>
            <w:noWrap w:val="0"/>
            <w:vAlign w:val="center"/>
          </w:tcPr>
          <w:p w14:paraId="5322109F">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国家荣誉称号得15分，省级荣誉称号得10分；国家级项目或个人得10分，省级项目或个人得5分。最高30分</w:t>
            </w:r>
          </w:p>
        </w:tc>
      </w:tr>
      <w:tr w14:paraId="77F9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noWrap w:val="0"/>
            <w:vAlign w:val="center"/>
          </w:tcPr>
          <w:p w14:paraId="46504C99">
            <w:pPr>
              <w:widowControl/>
              <w:spacing w:line="320" w:lineRule="exact"/>
              <w:jc w:val="left"/>
              <w:rPr>
                <w:rFonts w:hint="eastAsia" w:hAnsi="楷体" w:cs="宋体"/>
                <w:bCs w:val="0"/>
                <w:snapToGrid/>
                <w:color w:val="000000"/>
                <w:sz w:val="24"/>
                <w:szCs w:val="24"/>
              </w:rPr>
            </w:pPr>
          </w:p>
        </w:tc>
        <w:tc>
          <w:tcPr>
            <w:tcW w:w="9300" w:type="dxa"/>
            <w:gridSpan w:val="2"/>
            <w:noWrap w:val="0"/>
            <w:vAlign w:val="center"/>
          </w:tcPr>
          <w:p w14:paraId="080BDB57">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8. 近三年承办过国家或省文旅部门大型会议或活动，效果良好。</w:t>
            </w:r>
          </w:p>
        </w:tc>
        <w:tc>
          <w:tcPr>
            <w:tcW w:w="722" w:type="dxa"/>
            <w:noWrap w:val="0"/>
            <w:vAlign w:val="center"/>
          </w:tcPr>
          <w:p w14:paraId="1D5CA598">
            <w:pPr>
              <w:widowControl/>
              <w:spacing w:line="36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32452641">
            <w:pPr>
              <w:widowControl/>
              <w:spacing w:line="360" w:lineRule="exact"/>
              <w:rPr>
                <w:rFonts w:hint="eastAsia" w:hAnsi="仿宋" w:cs="宋体"/>
                <w:bCs w:val="0"/>
                <w:snapToGrid/>
                <w:color w:val="000000"/>
                <w:sz w:val="24"/>
                <w:szCs w:val="24"/>
              </w:rPr>
            </w:pPr>
            <w:r>
              <w:rPr>
                <w:rFonts w:hint="eastAsia" w:hAnsi="仿宋" w:cs="宋体"/>
                <w:bCs w:val="0"/>
                <w:snapToGrid/>
                <w:color w:val="000000"/>
                <w:sz w:val="24"/>
                <w:szCs w:val="24"/>
              </w:rPr>
              <w:t>承办一次国家会议得20分；承办一次省级会议得10分；承办一次市级会议得5分。最高20分</w:t>
            </w:r>
          </w:p>
        </w:tc>
      </w:tr>
      <w:tr w14:paraId="61B9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shd w:val="clear" w:color="auto" w:fill="auto"/>
            <w:noWrap w:val="0"/>
            <w:vAlign w:val="center"/>
          </w:tcPr>
          <w:p w14:paraId="149BDA76">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指标类型</w:t>
            </w:r>
          </w:p>
        </w:tc>
        <w:tc>
          <w:tcPr>
            <w:tcW w:w="1500" w:type="dxa"/>
            <w:shd w:val="clear" w:color="auto" w:fill="auto"/>
            <w:noWrap w:val="0"/>
            <w:vAlign w:val="center"/>
          </w:tcPr>
          <w:p w14:paraId="32FA7D0B">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指标范畴</w:t>
            </w:r>
          </w:p>
        </w:tc>
        <w:tc>
          <w:tcPr>
            <w:tcW w:w="7800" w:type="dxa"/>
            <w:noWrap w:val="0"/>
            <w:vAlign w:val="center"/>
          </w:tcPr>
          <w:p w14:paraId="6147EAC2">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具体指标</w:t>
            </w:r>
          </w:p>
        </w:tc>
        <w:tc>
          <w:tcPr>
            <w:tcW w:w="722" w:type="dxa"/>
            <w:noWrap w:val="0"/>
            <w:vAlign w:val="center"/>
          </w:tcPr>
          <w:p w14:paraId="696CA952">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分值</w:t>
            </w:r>
          </w:p>
        </w:tc>
        <w:tc>
          <w:tcPr>
            <w:tcW w:w="3432" w:type="dxa"/>
            <w:noWrap w:val="0"/>
            <w:vAlign w:val="center"/>
          </w:tcPr>
          <w:p w14:paraId="0896A652">
            <w:pPr>
              <w:widowControl/>
              <w:spacing w:line="320" w:lineRule="exact"/>
              <w:jc w:val="center"/>
              <w:rPr>
                <w:rFonts w:hint="eastAsia" w:ascii="黑体" w:hAnsi="黑体" w:eastAsia="黑体" w:cs="宋体"/>
                <w:snapToGrid/>
                <w:color w:val="000000"/>
                <w:sz w:val="24"/>
                <w:szCs w:val="24"/>
              </w:rPr>
            </w:pPr>
            <w:r>
              <w:rPr>
                <w:rFonts w:hint="eastAsia" w:ascii="黑体" w:hAnsi="黑体" w:eastAsia="黑体" w:cs="宋体"/>
                <w:snapToGrid/>
                <w:color w:val="000000"/>
                <w:sz w:val="24"/>
                <w:szCs w:val="24"/>
              </w:rPr>
              <w:t>备注</w:t>
            </w:r>
          </w:p>
        </w:tc>
      </w:tr>
      <w:tr w14:paraId="1F87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restart"/>
            <w:shd w:val="clear" w:color="auto" w:fill="auto"/>
            <w:noWrap w:val="0"/>
            <w:vAlign w:val="center"/>
          </w:tcPr>
          <w:p w14:paraId="0555A174">
            <w:pPr>
              <w:widowControl/>
              <w:spacing w:line="320" w:lineRule="exact"/>
              <w:jc w:val="center"/>
              <w:rPr>
                <w:rFonts w:hint="eastAsia" w:hAnsi="楷体" w:cs="宋体"/>
                <w:bCs w:val="0"/>
                <w:snapToGrid/>
                <w:sz w:val="24"/>
                <w:szCs w:val="24"/>
              </w:rPr>
            </w:pPr>
            <w:r>
              <w:rPr>
                <w:rFonts w:hint="eastAsia" w:hAnsi="楷体" w:cs="宋体"/>
                <w:bCs w:val="0"/>
                <w:snapToGrid/>
                <w:sz w:val="24"/>
                <w:szCs w:val="24"/>
              </w:rPr>
              <w:t>满意度指标</w:t>
            </w:r>
          </w:p>
        </w:tc>
        <w:tc>
          <w:tcPr>
            <w:tcW w:w="1500" w:type="dxa"/>
            <w:vMerge w:val="restart"/>
            <w:shd w:val="clear" w:color="auto" w:fill="auto"/>
            <w:noWrap w:val="0"/>
            <w:vAlign w:val="center"/>
          </w:tcPr>
          <w:p w14:paraId="75708C10">
            <w:pPr>
              <w:widowControl/>
              <w:spacing w:line="320" w:lineRule="exact"/>
              <w:jc w:val="center"/>
              <w:rPr>
                <w:rFonts w:hint="eastAsia" w:hAnsi="楷体" w:cs="宋体"/>
                <w:bCs w:val="0"/>
                <w:snapToGrid/>
                <w:color w:val="000000"/>
                <w:sz w:val="24"/>
                <w:szCs w:val="24"/>
              </w:rPr>
            </w:pPr>
            <w:r>
              <w:rPr>
                <w:rFonts w:hint="eastAsia" w:hAnsi="楷体" w:cs="宋体"/>
                <w:bCs w:val="0"/>
                <w:snapToGrid/>
                <w:color w:val="000000"/>
                <w:sz w:val="24"/>
                <w:szCs w:val="24"/>
              </w:rPr>
              <w:t>1.政策措施</w:t>
            </w:r>
          </w:p>
        </w:tc>
        <w:tc>
          <w:tcPr>
            <w:tcW w:w="7800" w:type="dxa"/>
            <w:noWrap w:val="0"/>
            <w:vAlign w:val="center"/>
          </w:tcPr>
          <w:p w14:paraId="04AD84F2">
            <w:pPr>
              <w:widowControl/>
              <w:spacing w:line="320" w:lineRule="exact"/>
              <w:rPr>
                <w:rFonts w:hint="eastAsia" w:hAnsi="仿宋" w:cs="宋体"/>
                <w:bCs w:val="0"/>
                <w:snapToGrid/>
                <w:color w:val="000000"/>
                <w:sz w:val="24"/>
                <w:szCs w:val="24"/>
              </w:rPr>
            </w:pPr>
            <w:r>
              <w:rPr>
                <w:rFonts w:hint="eastAsia" w:hAnsi="仿宋" w:cs="宋体"/>
                <w:bCs w:val="0"/>
                <w:snapToGrid/>
                <w:color w:val="000000"/>
                <w:sz w:val="24"/>
                <w:szCs w:val="24"/>
              </w:rPr>
              <w:t>1.1 文旅政策措施满意度</w:t>
            </w:r>
          </w:p>
        </w:tc>
        <w:tc>
          <w:tcPr>
            <w:tcW w:w="722" w:type="dxa"/>
            <w:noWrap w:val="0"/>
            <w:vAlign w:val="center"/>
          </w:tcPr>
          <w:p w14:paraId="3B3FC42A">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21CBB6A5">
            <w:pPr>
              <w:widowControl/>
              <w:spacing w:line="320" w:lineRule="exact"/>
              <w:rPr>
                <w:rFonts w:hint="eastAsia" w:hAnsi="仿宋" w:cs="宋体"/>
                <w:bCs w:val="0"/>
                <w:snapToGrid/>
                <w:color w:val="000000"/>
                <w:sz w:val="24"/>
                <w:szCs w:val="24"/>
              </w:rPr>
            </w:pPr>
            <w:r>
              <w:rPr>
                <w:rFonts w:hint="eastAsia" w:hAnsi="仿宋" w:cs="宋体"/>
                <w:bCs w:val="0"/>
                <w:snapToGrid/>
                <w:color w:val="000000"/>
                <w:sz w:val="24"/>
                <w:szCs w:val="24"/>
              </w:rPr>
              <w:t>非常满意20分；</w:t>
            </w:r>
            <w:r>
              <w:rPr>
                <w:rFonts w:hint="eastAsia" w:hAnsi="仿宋" w:cs="宋体"/>
                <w:bCs w:val="0"/>
                <w:snapToGrid/>
                <w:color w:val="000000"/>
                <w:sz w:val="24"/>
                <w:szCs w:val="24"/>
              </w:rPr>
              <w:br w:type="textWrapping"/>
            </w:r>
            <w:r>
              <w:rPr>
                <w:rFonts w:hint="eastAsia" w:hAnsi="仿宋" w:cs="宋体"/>
                <w:bCs w:val="0"/>
                <w:snapToGrid/>
                <w:color w:val="000000"/>
                <w:sz w:val="24"/>
                <w:szCs w:val="24"/>
              </w:rPr>
              <w:t>满意15分；</w:t>
            </w:r>
            <w:r>
              <w:rPr>
                <w:rFonts w:hint="eastAsia" w:hAnsi="仿宋" w:cs="宋体"/>
                <w:bCs w:val="0"/>
                <w:snapToGrid/>
                <w:color w:val="000000"/>
                <w:sz w:val="24"/>
                <w:szCs w:val="24"/>
              </w:rPr>
              <w:br w:type="textWrapping"/>
            </w:r>
            <w:r>
              <w:rPr>
                <w:rFonts w:hint="eastAsia" w:hAnsi="仿宋" w:cs="宋体"/>
                <w:bCs w:val="0"/>
                <w:snapToGrid/>
                <w:color w:val="000000"/>
                <w:sz w:val="24"/>
                <w:szCs w:val="24"/>
              </w:rPr>
              <w:t>基本满意10分；</w:t>
            </w:r>
            <w:r>
              <w:rPr>
                <w:rFonts w:hint="eastAsia" w:hAnsi="仿宋" w:cs="宋体"/>
                <w:bCs w:val="0"/>
                <w:snapToGrid/>
                <w:color w:val="000000"/>
                <w:sz w:val="24"/>
                <w:szCs w:val="24"/>
              </w:rPr>
              <w:br w:type="textWrapping"/>
            </w:r>
            <w:r>
              <w:rPr>
                <w:rFonts w:hint="eastAsia" w:hAnsi="仿宋" w:cs="宋体"/>
                <w:bCs w:val="0"/>
                <w:snapToGrid/>
                <w:color w:val="000000"/>
                <w:sz w:val="24"/>
                <w:szCs w:val="24"/>
              </w:rPr>
              <w:t>不满意0分</w:t>
            </w:r>
          </w:p>
        </w:tc>
      </w:tr>
      <w:tr w14:paraId="1397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41A324FC">
            <w:pPr>
              <w:widowControl/>
              <w:spacing w:line="320" w:lineRule="exact"/>
              <w:jc w:val="left"/>
              <w:rPr>
                <w:rFonts w:hint="eastAsia" w:hAnsi="楷体" w:cs="宋体"/>
                <w:bCs w:val="0"/>
                <w:snapToGrid/>
                <w:sz w:val="24"/>
                <w:szCs w:val="24"/>
              </w:rPr>
            </w:pPr>
          </w:p>
        </w:tc>
        <w:tc>
          <w:tcPr>
            <w:tcW w:w="1500" w:type="dxa"/>
            <w:vMerge w:val="continue"/>
            <w:shd w:val="clear" w:color="auto" w:fill="auto"/>
            <w:noWrap w:val="0"/>
            <w:vAlign w:val="center"/>
          </w:tcPr>
          <w:p w14:paraId="16C2EAD5">
            <w:pPr>
              <w:widowControl/>
              <w:spacing w:line="320" w:lineRule="exact"/>
              <w:jc w:val="left"/>
              <w:rPr>
                <w:rFonts w:hint="eastAsia" w:hAnsi="楷体" w:cs="宋体"/>
                <w:bCs w:val="0"/>
                <w:snapToGrid/>
                <w:color w:val="000000"/>
                <w:sz w:val="24"/>
                <w:szCs w:val="24"/>
              </w:rPr>
            </w:pPr>
          </w:p>
        </w:tc>
        <w:tc>
          <w:tcPr>
            <w:tcW w:w="7800" w:type="dxa"/>
            <w:noWrap w:val="0"/>
            <w:vAlign w:val="center"/>
          </w:tcPr>
          <w:p w14:paraId="688D8D2A">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1.2 文旅经费投入满意度</w:t>
            </w:r>
          </w:p>
        </w:tc>
        <w:tc>
          <w:tcPr>
            <w:tcW w:w="722" w:type="dxa"/>
            <w:noWrap w:val="0"/>
            <w:vAlign w:val="center"/>
          </w:tcPr>
          <w:p w14:paraId="54308670">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6480E5C4">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509E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42F79203">
            <w:pPr>
              <w:widowControl/>
              <w:spacing w:line="320" w:lineRule="exact"/>
              <w:jc w:val="left"/>
              <w:rPr>
                <w:rFonts w:hint="eastAsia" w:hAnsi="楷体" w:cs="宋体"/>
                <w:bCs w:val="0"/>
                <w:snapToGrid/>
                <w:sz w:val="24"/>
                <w:szCs w:val="24"/>
              </w:rPr>
            </w:pPr>
          </w:p>
        </w:tc>
        <w:tc>
          <w:tcPr>
            <w:tcW w:w="1500" w:type="dxa"/>
            <w:vMerge w:val="restart"/>
            <w:noWrap w:val="0"/>
            <w:vAlign w:val="center"/>
          </w:tcPr>
          <w:p w14:paraId="2CF5E3C7">
            <w:pPr>
              <w:widowControl/>
              <w:spacing w:line="320" w:lineRule="exact"/>
              <w:jc w:val="left"/>
              <w:rPr>
                <w:rFonts w:hint="eastAsia" w:hAnsi="楷体" w:cs="宋体"/>
                <w:bCs w:val="0"/>
                <w:snapToGrid/>
                <w:sz w:val="24"/>
                <w:szCs w:val="24"/>
              </w:rPr>
            </w:pPr>
            <w:r>
              <w:rPr>
                <w:rFonts w:hint="eastAsia" w:hAnsi="楷体" w:cs="宋体"/>
                <w:bCs w:val="0"/>
                <w:snapToGrid/>
                <w:sz w:val="24"/>
                <w:szCs w:val="24"/>
              </w:rPr>
              <w:t>2.服务供给</w:t>
            </w:r>
          </w:p>
        </w:tc>
        <w:tc>
          <w:tcPr>
            <w:tcW w:w="7800" w:type="dxa"/>
            <w:noWrap w:val="0"/>
            <w:vAlign w:val="center"/>
          </w:tcPr>
          <w:p w14:paraId="11AC4693">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2.1 文旅公共场所（图书馆、文化馆、文化站等）和经营场所（景区、旅行社、酒店等）服务设施配套完善满意度</w:t>
            </w:r>
          </w:p>
        </w:tc>
        <w:tc>
          <w:tcPr>
            <w:tcW w:w="722" w:type="dxa"/>
            <w:noWrap w:val="0"/>
            <w:vAlign w:val="center"/>
          </w:tcPr>
          <w:p w14:paraId="61410704">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2E8FADB4">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1B57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330E2239">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7AB762E7">
            <w:pPr>
              <w:widowControl/>
              <w:spacing w:line="320" w:lineRule="exact"/>
              <w:jc w:val="left"/>
              <w:rPr>
                <w:rFonts w:hint="eastAsia" w:hAnsi="楷体" w:cs="宋体"/>
                <w:bCs w:val="0"/>
                <w:snapToGrid/>
                <w:sz w:val="24"/>
                <w:szCs w:val="24"/>
              </w:rPr>
            </w:pPr>
          </w:p>
        </w:tc>
        <w:tc>
          <w:tcPr>
            <w:tcW w:w="7800" w:type="dxa"/>
            <w:noWrap w:val="0"/>
            <w:vAlign w:val="center"/>
          </w:tcPr>
          <w:p w14:paraId="1CEC9ACB">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2.2 文旅公共场所（图书馆、文化馆、文化站等）和经营场所（景区、旅行社、酒店等）服务内容满意度</w:t>
            </w:r>
          </w:p>
        </w:tc>
        <w:tc>
          <w:tcPr>
            <w:tcW w:w="722" w:type="dxa"/>
            <w:noWrap w:val="0"/>
            <w:vAlign w:val="center"/>
          </w:tcPr>
          <w:p w14:paraId="570C487C">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40C3880C">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381D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2440B80D">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4A0743EB">
            <w:pPr>
              <w:widowControl/>
              <w:spacing w:line="320" w:lineRule="exact"/>
              <w:jc w:val="left"/>
              <w:rPr>
                <w:rFonts w:hint="eastAsia" w:hAnsi="楷体" w:cs="宋体"/>
                <w:bCs w:val="0"/>
                <w:snapToGrid/>
                <w:sz w:val="24"/>
                <w:szCs w:val="24"/>
              </w:rPr>
            </w:pPr>
          </w:p>
        </w:tc>
        <w:tc>
          <w:tcPr>
            <w:tcW w:w="7800" w:type="dxa"/>
            <w:noWrap w:val="0"/>
            <w:vAlign w:val="center"/>
          </w:tcPr>
          <w:p w14:paraId="0B221A42">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2.3 文旅业态培育和产品供给（含文艺作品、文创产品等）满意度</w:t>
            </w:r>
          </w:p>
        </w:tc>
        <w:tc>
          <w:tcPr>
            <w:tcW w:w="722" w:type="dxa"/>
            <w:noWrap w:val="0"/>
            <w:vAlign w:val="center"/>
          </w:tcPr>
          <w:p w14:paraId="74FC0673">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13D4BD85">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08E1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7E7737D7">
            <w:pPr>
              <w:widowControl/>
              <w:spacing w:line="320" w:lineRule="exact"/>
              <w:jc w:val="left"/>
              <w:rPr>
                <w:rFonts w:hint="eastAsia" w:hAnsi="楷体" w:cs="宋体"/>
                <w:bCs w:val="0"/>
                <w:snapToGrid/>
                <w:sz w:val="24"/>
                <w:szCs w:val="24"/>
              </w:rPr>
            </w:pPr>
          </w:p>
        </w:tc>
        <w:tc>
          <w:tcPr>
            <w:tcW w:w="1500" w:type="dxa"/>
            <w:vMerge w:val="restart"/>
            <w:noWrap w:val="0"/>
            <w:vAlign w:val="center"/>
          </w:tcPr>
          <w:p w14:paraId="60F29917">
            <w:pPr>
              <w:widowControl/>
              <w:spacing w:line="320" w:lineRule="exact"/>
              <w:jc w:val="left"/>
              <w:rPr>
                <w:rFonts w:hint="eastAsia" w:hAnsi="楷体" w:cs="宋体"/>
                <w:bCs w:val="0"/>
                <w:snapToGrid/>
                <w:sz w:val="24"/>
                <w:szCs w:val="24"/>
              </w:rPr>
            </w:pPr>
            <w:r>
              <w:rPr>
                <w:rFonts w:hint="eastAsia" w:hAnsi="楷体" w:cs="宋体"/>
                <w:bCs w:val="0"/>
                <w:snapToGrid/>
                <w:sz w:val="24"/>
                <w:szCs w:val="24"/>
              </w:rPr>
              <w:t>3.服务效能</w:t>
            </w:r>
          </w:p>
        </w:tc>
        <w:tc>
          <w:tcPr>
            <w:tcW w:w="7800" w:type="dxa"/>
            <w:noWrap w:val="0"/>
            <w:vAlign w:val="center"/>
          </w:tcPr>
          <w:p w14:paraId="16740DC3">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3.1 文旅公共场所（图书馆、文化馆、文化站等）和经营场所（景区、旅行社、酒店等）服务质量和水平满意度</w:t>
            </w:r>
          </w:p>
        </w:tc>
        <w:tc>
          <w:tcPr>
            <w:tcW w:w="722" w:type="dxa"/>
            <w:noWrap w:val="0"/>
            <w:vAlign w:val="center"/>
          </w:tcPr>
          <w:p w14:paraId="3A917DA9">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165B91B4">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46CA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717FA37C">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11B49047">
            <w:pPr>
              <w:widowControl/>
              <w:spacing w:line="320" w:lineRule="exact"/>
              <w:jc w:val="left"/>
              <w:rPr>
                <w:rFonts w:hint="eastAsia" w:hAnsi="楷体" w:cs="宋体"/>
                <w:bCs w:val="0"/>
                <w:snapToGrid/>
                <w:sz w:val="24"/>
                <w:szCs w:val="24"/>
              </w:rPr>
            </w:pPr>
          </w:p>
        </w:tc>
        <w:tc>
          <w:tcPr>
            <w:tcW w:w="7800" w:type="dxa"/>
            <w:noWrap w:val="0"/>
            <w:vAlign w:val="center"/>
          </w:tcPr>
          <w:p w14:paraId="7754F8E1">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3.2 “文旅+”融合发展水平满意度</w:t>
            </w:r>
          </w:p>
        </w:tc>
        <w:tc>
          <w:tcPr>
            <w:tcW w:w="722" w:type="dxa"/>
            <w:noWrap w:val="0"/>
            <w:vAlign w:val="center"/>
          </w:tcPr>
          <w:p w14:paraId="582376EB">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51419B86">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55A1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4467EA94">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402E48AB">
            <w:pPr>
              <w:widowControl/>
              <w:spacing w:line="320" w:lineRule="exact"/>
              <w:jc w:val="left"/>
              <w:rPr>
                <w:rFonts w:hint="eastAsia" w:hAnsi="楷体" w:cs="宋体"/>
                <w:bCs w:val="0"/>
                <w:snapToGrid/>
                <w:sz w:val="24"/>
                <w:szCs w:val="24"/>
              </w:rPr>
            </w:pPr>
          </w:p>
        </w:tc>
        <w:tc>
          <w:tcPr>
            <w:tcW w:w="7800" w:type="dxa"/>
            <w:noWrap w:val="0"/>
            <w:vAlign w:val="center"/>
          </w:tcPr>
          <w:p w14:paraId="3035E505">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3.3 文旅队伍服务能力（含执法）满意度</w:t>
            </w:r>
          </w:p>
        </w:tc>
        <w:tc>
          <w:tcPr>
            <w:tcW w:w="722" w:type="dxa"/>
            <w:noWrap w:val="0"/>
            <w:vAlign w:val="center"/>
          </w:tcPr>
          <w:p w14:paraId="4BBCD9F8">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58E0011B">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3E42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5FF924AB">
            <w:pPr>
              <w:widowControl/>
              <w:spacing w:line="320" w:lineRule="exact"/>
              <w:jc w:val="left"/>
              <w:rPr>
                <w:rFonts w:hint="eastAsia" w:hAnsi="楷体" w:cs="宋体"/>
                <w:bCs w:val="0"/>
                <w:snapToGrid/>
                <w:sz w:val="24"/>
                <w:szCs w:val="24"/>
              </w:rPr>
            </w:pPr>
          </w:p>
        </w:tc>
        <w:tc>
          <w:tcPr>
            <w:tcW w:w="1500" w:type="dxa"/>
            <w:vMerge w:val="restart"/>
            <w:noWrap w:val="0"/>
            <w:vAlign w:val="center"/>
          </w:tcPr>
          <w:p w14:paraId="1C44D0E1">
            <w:pPr>
              <w:widowControl/>
              <w:spacing w:line="320" w:lineRule="exact"/>
              <w:jc w:val="left"/>
              <w:rPr>
                <w:rFonts w:hint="eastAsia" w:hAnsi="楷体" w:cs="宋体"/>
                <w:bCs w:val="0"/>
                <w:snapToGrid/>
                <w:sz w:val="24"/>
                <w:szCs w:val="24"/>
              </w:rPr>
            </w:pPr>
            <w:r>
              <w:rPr>
                <w:rFonts w:hint="eastAsia" w:hAnsi="楷体" w:cs="宋体"/>
                <w:bCs w:val="0"/>
                <w:snapToGrid/>
                <w:sz w:val="24"/>
                <w:szCs w:val="24"/>
              </w:rPr>
              <w:t>4.服务环境</w:t>
            </w:r>
          </w:p>
        </w:tc>
        <w:tc>
          <w:tcPr>
            <w:tcW w:w="7800" w:type="dxa"/>
            <w:noWrap w:val="0"/>
            <w:vAlign w:val="center"/>
          </w:tcPr>
          <w:p w14:paraId="531DA173">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4.1 文旅市场秩序满意度</w:t>
            </w:r>
          </w:p>
        </w:tc>
        <w:tc>
          <w:tcPr>
            <w:tcW w:w="722" w:type="dxa"/>
            <w:noWrap w:val="0"/>
            <w:vAlign w:val="center"/>
          </w:tcPr>
          <w:p w14:paraId="7495B562">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70C317C9">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r w14:paraId="32A2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0" w:type="dxa"/>
            <w:vMerge w:val="continue"/>
            <w:shd w:val="clear" w:color="auto" w:fill="auto"/>
            <w:noWrap w:val="0"/>
            <w:vAlign w:val="center"/>
          </w:tcPr>
          <w:p w14:paraId="14981D32">
            <w:pPr>
              <w:widowControl/>
              <w:spacing w:line="320" w:lineRule="exact"/>
              <w:jc w:val="left"/>
              <w:rPr>
                <w:rFonts w:hint="eastAsia" w:hAnsi="楷体" w:cs="宋体"/>
                <w:bCs w:val="0"/>
                <w:snapToGrid/>
                <w:sz w:val="24"/>
                <w:szCs w:val="24"/>
              </w:rPr>
            </w:pPr>
          </w:p>
        </w:tc>
        <w:tc>
          <w:tcPr>
            <w:tcW w:w="1500" w:type="dxa"/>
            <w:vMerge w:val="continue"/>
            <w:noWrap w:val="0"/>
            <w:vAlign w:val="center"/>
          </w:tcPr>
          <w:p w14:paraId="79FF6F11">
            <w:pPr>
              <w:widowControl/>
              <w:spacing w:line="320" w:lineRule="exact"/>
              <w:jc w:val="left"/>
              <w:rPr>
                <w:rFonts w:hint="eastAsia" w:hAnsi="楷体" w:cs="宋体"/>
                <w:bCs w:val="0"/>
                <w:snapToGrid/>
                <w:sz w:val="24"/>
                <w:szCs w:val="24"/>
              </w:rPr>
            </w:pPr>
          </w:p>
        </w:tc>
        <w:tc>
          <w:tcPr>
            <w:tcW w:w="7800" w:type="dxa"/>
            <w:noWrap w:val="0"/>
            <w:vAlign w:val="center"/>
          </w:tcPr>
          <w:p w14:paraId="28E58D29">
            <w:pPr>
              <w:widowControl/>
              <w:spacing w:line="320" w:lineRule="exact"/>
              <w:jc w:val="left"/>
              <w:rPr>
                <w:rFonts w:hint="eastAsia" w:hAnsi="仿宋" w:cs="宋体"/>
                <w:bCs w:val="0"/>
                <w:snapToGrid/>
                <w:sz w:val="24"/>
                <w:szCs w:val="24"/>
              </w:rPr>
            </w:pPr>
            <w:r>
              <w:rPr>
                <w:rFonts w:hint="eastAsia" w:hAnsi="仿宋" w:cs="宋体"/>
                <w:bCs w:val="0"/>
                <w:snapToGrid/>
                <w:sz w:val="24"/>
                <w:szCs w:val="24"/>
              </w:rPr>
              <w:t>4.2 基本文化权益和旅游者合法权益保障满意度</w:t>
            </w:r>
          </w:p>
        </w:tc>
        <w:tc>
          <w:tcPr>
            <w:tcW w:w="722" w:type="dxa"/>
            <w:noWrap w:val="0"/>
            <w:vAlign w:val="center"/>
          </w:tcPr>
          <w:p w14:paraId="2CEF2D1D">
            <w:pPr>
              <w:widowControl/>
              <w:spacing w:line="320" w:lineRule="exact"/>
              <w:jc w:val="center"/>
              <w:rPr>
                <w:rFonts w:hint="eastAsia" w:hAnsi="仿宋" w:cs="宋体"/>
                <w:bCs w:val="0"/>
                <w:snapToGrid/>
                <w:sz w:val="24"/>
                <w:szCs w:val="24"/>
              </w:rPr>
            </w:pPr>
            <w:r>
              <w:rPr>
                <w:rFonts w:hint="eastAsia" w:hAnsi="仿宋" w:cs="宋体"/>
                <w:bCs w:val="0"/>
                <w:snapToGrid/>
                <w:sz w:val="24"/>
                <w:szCs w:val="24"/>
              </w:rPr>
              <w:t>20</w:t>
            </w:r>
          </w:p>
        </w:tc>
        <w:tc>
          <w:tcPr>
            <w:tcW w:w="3432" w:type="dxa"/>
            <w:noWrap w:val="0"/>
            <w:vAlign w:val="center"/>
          </w:tcPr>
          <w:p w14:paraId="1832AC46">
            <w:pPr>
              <w:widowControl/>
              <w:spacing w:line="320" w:lineRule="exact"/>
              <w:jc w:val="center"/>
              <w:rPr>
                <w:rFonts w:hint="eastAsia" w:hAnsi="仿宋" w:cs="宋体"/>
                <w:bCs w:val="0"/>
                <w:snapToGrid/>
                <w:color w:val="000000"/>
                <w:sz w:val="24"/>
                <w:szCs w:val="24"/>
              </w:rPr>
            </w:pPr>
            <w:r>
              <w:rPr>
                <w:rFonts w:hint="eastAsia" w:hAnsi="仿宋" w:cs="宋体"/>
                <w:bCs w:val="0"/>
                <w:snapToGrid/>
                <w:color w:val="000000"/>
                <w:sz w:val="24"/>
                <w:szCs w:val="24"/>
              </w:rPr>
              <w:t>同上</w:t>
            </w:r>
          </w:p>
        </w:tc>
      </w:tr>
    </w:tbl>
    <w:p w14:paraId="50AFC90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46CEB"/>
    <w:rsid w:val="302D2CD1"/>
    <w:rsid w:val="38F163BC"/>
    <w:rsid w:val="5FCB4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bCs/>
      <w:snapToGrid w:val="0"/>
      <w:sz w:val="30"/>
      <w:lang w:val="en-US" w:eastAsia="zh-CN" w:bidi="ar-SA"/>
    </w:rPr>
  </w:style>
  <w:style w:type="character" w:default="1" w:styleId="5">
    <w:name w:val="Default Paragraph Font"/>
    <w:link w:val="6"/>
    <w:semiHidden/>
    <w:qFormat/>
    <w:uiPriority w:val="0"/>
    <w:rPr>
      <w:rFonts w:ascii="Times New Roman" w:eastAsia="宋体"/>
      <w:snapToGrid/>
      <w:kern w:val="2"/>
      <w:sz w:val="21"/>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w:basedOn w:val="1"/>
    <w:link w:val="5"/>
    <w:qFormat/>
    <w:uiPriority w:val="0"/>
    <w:rPr>
      <w:rFonts w:ascii="Times New Roman" w:eastAsia="宋体"/>
      <w:bCs w:val="0"/>
      <w:snapToGrid/>
      <w:kern w:val="2"/>
      <w:sz w:val="21"/>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3949</Words>
  <Characters>4263</Characters>
  <Lines>0</Lines>
  <Paragraphs>0</Paragraphs>
  <TotalTime>2</TotalTime>
  <ScaleCrop>false</ScaleCrop>
  <LinksUpToDate>false</LinksUpToDate>
  <CharactersWithSpaces>4372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XXK2</cp:lastModifiedBy>
  <dcterms:modified xsi:type="dcterms:W3CDTF">2025-09-06T03:43:13Z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21E85E1CB1A64080B471CADE479FA54A_13</vt:lpwstr>
  </property>
  <property fmtid="{D5CDD505-2E9C-101B-9397-08002B2CF9AE}" pid="4" name="KSOTemplateDocerSaveRecord">
    <vt:lpwstr>eyJoZGlkIjoiNmQ5NDI2Mzg5MWFiZDlmY2RkOThjOWQ1YmU2MWNlODMifQ==</vt:lpwstr>
  </property>
</Properties>
</file>